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51"/>
        <w:gridCol w:w="5604"/>
      </w:tblGrid>
      <w:tr w:rsidR="00000000">
        <w:trPr>
          <w:tblCellSpacing w:w="15" w:type="dxa"/>
        </w:trPr>
        <w:tc>
          <w:tcPr>
            <w:tcW w:w="2000" w:type="pct"/>
            <w:vAlign w:val="center"/>
            <w:hideMark/>
          </w:tcPr>
          <w:p w:rsidR="00000000" w:rsidRDefault="00F80EEC">
            <w:pPr>
              <w:rPr>
                <w:sz w:val="20"/>
                <w:szCs w:val="20"/>
              </w:rPr>
            </w:pPr>
            <w:bookmarkStart w:id="0" w:name="_GoBack"/>
            <w:bookmarkEnd w:id="0"/>
          </w:p>
        </w:tc>
        <w:tc>
          <w:tcPr>
            <w:tcW w:w="0" w:type="auto"/>
            <w:tcBorders>
              <w:bottom w:val="single" w:sz="2" w:space="0" w:color="auto"/>
            </w:tcBorders>
            <w:tcMar>
              <w:top w:w="15" w:type="dxa"/>
              <w:left w:w="15" w:type="dxa"/>
              <w:bottom w:w="30" w:type="dxa"/>
              <w:right w:w="15" w:type="dxa"/>
            </w:tcMar>
            <w:vAlign w:val="center"/>
            <w:hideMark/>
          </w:tcPr>
          <w:p w:rsidR="00000000" w:rsidRDefault="00F80EEC">
            <w:pPr>
              <w:jc w:val="center"/>
              <w:rPr>
                <w:rFonts w:eastAsia="Times New Roman"/>
              </w:rPr>
            </w:pPr>
            <w:r>
              <w:rPr>
                <w:rFonts w:eastAsia="Times New Roman"/>
                <w:b/>
                <w:bCs/>
              </w:rPr>
              <w:t>ПАО Московская Биржа</w:t>
            </w:r>
          </w:p>
        </w:tc>
      </w:tr>
      <w:tr w:rsidR="00000000">
        <w:trPr>
          <w:tblCellSpacing w:w="15" w:type="dxa"/>
        </w:trPr>
        <w:tc>
          <w:tcPr>
            <w:tcW w:w="0" w:type="auto"/>
            <w:vAlign w:val="center"/>
            <w:hideMark/>
          </w:tcPr>
          <w:p w:rsidR="00000000" w:rsidRDefault="00F80EEC">
            <w:pPr>
              <w:jc w:val="center"/>
              <w:rPr>
                <w:rFonts w:eastAsia="Times New Roman"/>
              </w:rPr>
            </w:pPr>
          </w:p>
        </w:tc>
        <w:tc>
          <w:tcPr>
            <w:tcW w:w="0" w:type="auto"/>
            <w:vAlign w:val="center"/>
            <w:hideMark/>
          </w:tcPr>
          <w:p w:rsidR="00000000" w:rsidRDefault="00F80EEC">
            <w:pPr>
              <w:jc w:val="center"/>
              <w:rPr>
                <w:rFonts w:eastAsia="Times New Roman"/>
                <w:sz w:val="18"/>
                <w:szCs w:val="18"/>
              </w:rPr>
            </w:pPr>
            <w:r>
              <w:rPr>
                <w:rFonts w:eastAsia="Times New Roman"/>
                <w:sz w:val="18"/>
                <w:szCs w:val="18"/>
              </w:rPr>
              <w:t>(наименование регистрирующей организации)</w:t>
            </w:r>
          </w:p>
        </w:tc>
      </w:tr>
      <w:tr w:rsidR="00000000">
        <w:trPr>
          <w:tblCellSpacing w:w="15" w:type="dxa"/>
        </w:trPr>
        <w:tc>
          <w:tcPr>
            <w:tcW w:w="0" w:type="auto"/>
            <w:gridSpan w:val="2"/>
            <w:tcBorders>
              <w:bottom w:val="single" w:sz="2" w:space="0" w:color="auto"/>
            </w:tcBorders>
            <w:tcMar>
              <w:top w:w="3600" w:type="dxa"/>
              <w:left w:w="15" w:type="dxa"/>
              <w:bottom w:w="15" w:type="dxa"/>
              <w:right w:w="15" w:type="dxa"/>
            </w:tcMar>
            <w:vAlign w:val="center"/>
            <w:hideMark/>
          </w:tcPr>
          <w:p w:rsidR="00000000" w:rsidRDefault="00F80EEC">
            <w:pPr>
              <w:jc w:val="center"/>
              <w:rPr>
                <w:rFonts w:eastAsia="Times New Roman"/>
                <w:sz w:val="28"/>
                <w:szCs w:val="28"/>
              </w:rPr>
            </w:pPr>
            <w:r>
              <w:rPr>
                <w:rFonts w:eastAsia="Times New Roman"/>
                <w:b/>
                <w:bCs/>
                <w:sz w:val="28"/>
                <w:szCs w:val="28"/>
              </w:rPr>
              <w:t>ДОКУМЕНТ, СОДЕРЖАЩИЙ УСЛОВИЯ</w:t>
            </w:r>
            <w:r>
              <w:rPr>
                <w:rFonts w:eastAsia="Times New Roman"/>
                <w:b/>
                <w:bCs/>
                <w:sz w:val="28"/>
                <w:szCs w:val="28"/>
              </w:rPr>
              <w:br/>
              <w:t>РАЗМЕЩЕНИЯ ЦЕННЫХ БУМАГ</w:t>
            </w:r>
          </w:p>
        </w:tc>
      </w:tr>
      <w:tr w:rsidR="00000000">
        <w:trPr>
          <w:tblCellSpacing w:w="15" w:type="dxa"/>
        </w:trPr>
        <w:tc>
          <w:tcPr>
            <w:tcW w:w="0" w:type="auto"/>
            <w:gridSpan w:val="2"/>
            <w:tcMar>
              <w:top w:w="900" w:type="dxa"/>
              <w:left w:w="15" w:type="dxa"/>
              <w:bottom w:w="15" w:type="dxa"/>
              <w:right w:w="15" w:type="dxa"/>
            </w:tcMar>
            <w:vAlign w:val="center"/>
            <w:hideMark/>
          </w:tcPr>
          <w:p w:rsidR="00000000" w:rsidRDefault="00F80EEC">
            <w:pPr>
              <w:jc w:val="center"/>
              <w:rPr>
                <w:rFonts w:eastAsia="Times New Roman"/>
              </w:rPr>
            </w:pPr>
            <w:r>
              <w:rPr>
                <w:rFonts w:eastAsia="Times New Roman"/>
                <w:b/>
                <w:bCs/>
              </w:rPr>
              <w:t>Банк ВТБ (публичное акционерное общество)</w:t>
            </w:r>
          </w:p>
        </w:tc>
      </w:tr>
      <w:tr w:rsidR="00000000">
        <w:trPr>
          <w:tblCellSpacing w:w="15" w:type="dxa"/>
        </w:trPr>
        <w:tc>
          <w:tcPr>
            <w:tcW w:w="0" w:type="auto"/>
            <w:gridSpan w:val="2"/>
            <w:tcMar>
              <w:top w:w="300" w:type="dxa"/>
              <w:left w:w="15" w:type="dxa"/>
              <w:bottom w:w="15" w:type="dxa"/>
              <w:right w:w="15" w:type="dxa"/>
            </w:tcMar>
            <w:vAlign w:val="center"/>
            <w:hideMark/>
          </w:tcPr>
          <w:p w:rsidR="00000000" w:rsidRDefault="00F80EEC">
            <w:pPr>
              <w:jc w:val="center"/>
              <w:rPr>
                <w:rFonts w:eastAsia="Times New Roman"/>
              </w:rPr>
            </w:pPr>
            <w:r>
              <w:rPr>
                <w:rFonts w:eastAsia="Times New Roman"/>
                <w:b/>
                <w:bCs/>
                <w:i/>
                <w:iCs/>
              </w:rPr>
              <w:t xml:space="preserve">биржевые облигации процентные </w:t>
            </w:r>
            <w:r>
              <w:rPr>
                <w:rFonts w:eastAsia="Times New Roman"/>
                <w:b/>
                <w:bCs/>
                <w:i/>
                <w:iCs/>
              </w:rPr>
              <w:t>неконвертируемые бездокументарные с централизованным учетом прав серии Б-1-331</w:t>
            </w:r>
          </w:p>
        </w:tc>
      </w:tr>
      <w:tr w:rsidR="00000000">
        <w:trPr>
          <w:tblCellSpacing w:w="15" w:type="dxa"/>
        </w:trPr>
        <w:tc>
          <w:tcPr>
            <w:tcW w:w="0" w:type="auto"/>
            <w:gridSpan w:val="2"/>
            <w:tcMar>
              <w:top w:w="1350" w:type="dxa"/>
              <w:left w:w="15" w:type="dxa"/>
              <w:bottom w:w="750" w:type="dxa"/>
              <w:right w:w="15" w:type="dxa"/>
            </w:tcMar>
            <w:vAlign w:val="center"/>
            <w:hideMark/>
          </w:tcPr>
          <w:p w:rsidR="00000000" w:rsidRDefault="00F80EEC">
            <w:pPr>
              <w:rPr>
                <w:rFonts w:eastAsia="Times New Roman"/>
              </w:rPr>
            </w:pPr>
            <w:r>
              <w:rPr>
                <w:rFonts w:eastAsia="Times New Roman"/>
              </w:rPr>
              <w:t xml:space="preserve">Место нахождения эмитента: </w:t>
            </w:r>
            <w:r>
              <w:rPr>
                <w:rFonts w:eastAsia="Times New Roman"/>
                <w:b/>
                <w:bCs/>
                <w:i/>
                <w:iCs/>
              </w:rPr>
              <w:t>Российская Федерация, город Санкт-Петербург</w:t>
            </w:r>
          </w:p>
        </w:tc>
      </w:tr>
    </w:tbl>
    <w:p w:rsidR="00000000" w:rsidRDefault="00F80EEC">
      <w:pPr>
        <w:rPr>
          <w:rFonts w:eastAsia="Times New Roman"/>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83"/>
        <w:gridCol w:w="1414"/>
        <w:gridCol w:w="2352"/>
      </w:tblGrid>
      <w:tr w:rsidR="00000000">
        <w:trPr>
          <w:tblCellSpacing w:w="15" w:type="dxa"/>
        </w:trPr>
        <w:tc>
          <w:tcPr>
            <w:tcW w:w="3000" w:type="pct"/>
            <w:tcBorders>
              <w:top w:val="single" w:sz="2" w:space="0" w:color="auto"/>
              <w:left w:val="single" w:sz="2" w:space="0" w:color="auto"/>
              <w:bottom w:val="single" w:sz="2" w:space="0" w:color="auto"/>
            </w:tcBorders>
            <w:tcMar>
              <w:top w:w="150" w:type="dxa"/>
              <w:left w:w="150" w:type="dxa"/>
              <w:bottom w:w="150" w:type="dxa"/>
              <w:right w:w="150" w:type="dxa"/>
            </w:tcMar>
            <w:vAlign w:val="center"/>
            <w:hideMark/>
          </w:tcPr>
          <w:p w:rsidR="00000000" w:rsidRDefault="00F80EEC">
            <w:pPr>
              <w:rPr>
                <w:rFonts w:eastAsia="Times New Roman"/>
                <w:sz w:val="22"/>
                <w:szCs w:val="22"/>
              </w:rPr>
            </w:pPr>
            <w:r>
              <w:rPr>
                <w:rFonts w:eastAsia="Times New Roman"/>
                <w:b/>
                <w:bCs/>
                <w:sz w:val="22"/>
                <w:szCs w:val="22"/>
              </w:rPr>
              <w:t xml:space="preserve">Начальник Управления казначейских операций </w:t>
            </w:r>
            <w:r>
              <w:rPr>
                <w:rFonts w:eastAsia="Times New Roman"/>
                <w:b/>
                <w:bCs/>
                <w:sz w:val="22"/>
                <w:szCs w:val="22"/>
              </w:rPr>
              <w:t xml:space="preserve">на открытых рынках Казначейства - вице-президент, действующий на основании доверенности №350000/668-ДН от 31.07.2025 </w:t>
            </w:r>
          </w:p>
        </w:tc>
        <w:tc>
          <w:tcPr>
            <w:tcW w:w="750" w:type="pct"/>
            <w:tcBorders>
              <w:top w:val="single" w:sz="2" w:space="0" w:color="auto"/>
              <w:bottom w:val="single" w:sz="2" w:space="0" w:color="auto"/>
            </w:tcBorders>
            <w:tcMar>
              <w:top w:w="150" w:type="dxa"/>
              <w:left w:w="150" w:type="dxa"/>
              <w:bottom w:w="150" w:type="dxa"/>
              <w:right w:w="150" w:type="dxa"/>
            </w:tcMar>
            <w:vAlign w:val="center"/>
            <w:hideMark/>
          </w:tcPr>
          <w:p w:rsidR="00000000" w:rsidRDefault="00F80EEC">
            <w:pPr>
              <w:rPr>
                <w:rFonts w:eastAsia="Times New Roman"/>
                <w:sz w:val="22"/>
                <w:szCs w:val="22"/>
              </w:rPr>
            </w:pPr>
          </w:p>
        </w:tc>
        <w:tc>
          <w:tcPr>
            <w:tcW w:w="1250" w:type="pct"/>
            <w:tcBorders>
              <w:top w:val="single" w:sz="2" w:space="0" w:color="auto"/>
              <w:bottom w:val="single" w:sz="2" w:space="0" w:color="auto"/>
              <w:right w:val="single" w:sz="2" w:space="0" w:color="auto"/>
            </w:tcBorders>
            <w:tcMar>
              <w:top w:w="150" w:type="dxa"/>
              <w:left w:w="150" w:type="dxa"/>
              <w:bottom w:w="150" w:type="dxa"/>
              <w:right w:w="150" w:type="dxa"/>
            </w:tcMar>
            <w:vAlign w:val="bottom"/>
            <w:hideMark/>
          </w:tcPr>
          <w:p w:rsidR="00000000" w:rsidRDefault="00F80EEC">
            <w:pPr>
              <w:rPr>
                <w:rFonts w:eastAsia="Times New Roman"/>
                <w:sz w:val="22"/>
                <w:szCs w:val="22"/>
              </w:rPr>
            </w:pPr>
            <w:r>
              <w:rPr>
                <w:rFonts w:eastAsia="Times New Roman"/>
                <w:b/>
                <w:bCs/>
                <w:sz w:val="22"/>
                <w:szCs w:val="22"/>
              </w:rPr>
              <w:t xml:space="preserve">Р.В. Калинин </w:t>
            </w:r>
          </w:p>
        </w:tc>
      </w:tr>
    </w:tbl>
    <w:p w:rsidR="00000000" w:rsidRDefault="00F80EEC">
      <w:pPr>
        <w:pStyle w:val="a3"/>
        <w:spacing w:after="0" w:afterAutospacing="0"/>
        <w:jc w:val="both"/>
        <w:rPr>
          <w:sz w:val="22"/>
          <w:szCs w:val="22"/>
        </w:rPr>
      </w:pPr>
      <w:r>
        <w:rPr>
          <w:rFonts w:eastAsia="Times New Roman"/>
        </w:rPr>
        <w:br w:type="page"/>
      </w:r>
      <w:r>
        <w:rPr>
          <w:b/>
          <w:bCs/>
          <w:sz w:val="22"/>
          <w:szCs w:val="22"/>
        </w:rPr>
        <w:lastRenderedPageBreak/>
        <w:t>Далее будут использоваться следующие термины:</w:t>
      </w:r>
    </w:p>
    <w:p w:rsidR="00000000" w:rsidRDefault="00F80EEC">
      <w:pPr>
        <w:pStyle w:val="a3"/>
        <w:spacing w:before="0" w:beforeAutospacing="0" w:after="0" w:afterAutospacing="0"/>
        <w:jc w:val="both"/>
        <w:rPr>
          <w:i/>
          <w:iCs/>
          <w:sz w:val="22"/>
          <w:szCs w:val="22"/>
        </w:rPr>
      </w:pPr>
      <w:r>
        <w:rPr>
          <w:b/>
          <w:bCs/>
          <w:i/>
          <w:iCs/>
          <w:sz w:val="22"/>
          <w:szCs w:val="22"/>
        </w:rPr>
        <w:t>«Программа»</w:t>
      </w:r>
      <w:r>
        <w:rPr>
          <w:i/>
          <w:iCs/>
          <w:sz w:val="22"/>
          <w:szCs w:val="22"/>
        </w:rPr>
        <w:t xml:space="preserve"> - Программа биржевых облигаций с внесенными изменениями, имеюща</w:t>
      </w:r>
      <w:r>
        <w:rPr>
          <w:i/>
          <w:iCs/>
          <w:sz w:val="22"/>
          <w:szCs w:val="22"/>
        </w:rPr>
        <w:t>я идентификационный номер 401000B001P02E от 05.08.2015, в рамках которой размещается настоящий выпуск Биржевых облигаций.</w:t>
      </w:r>
    </w:p>
    <w:p w:rsidR="00000000" w:rsidRDefault="00F80EEC">
      <w:pPr>
        <w:pStyle w:val="a3"/>
        <w:spacing w:before="0" w:beforeAutospacing="0" w:after="0" w:afterAutospacing="0"/>
        <w:jc w:val="both"/>
        <w:rPr>
          <w:i/>
          <w:iCs/>
          <w:sz w:val="22"/>
          <w:szCs w:val="22"/>
        </w:rPr>
      </w:pPr>
      <w:r>
        <w:rPr>
          <w:b/>
          <w:bCs/>
          <w:i/>
          <w:iCs/>
          <w:sz w:val="22"/>
          <w:szCs w:val="22"/>
        </w:rPr>
        <w:t>«Решение о выпуске»</w:t>
      </w:r>
      <w:r>
        <w:rPr>
          <w:i/>
          <w:iCs/>
          <w:sz w:val="22"/>
          <w:szCs w:val="22"/>
        </w:rPr>
        <w:t xml:space="preserve"> – Решение о выпуске биржевых облигаций в рамках Программы Биржевых облигаций;</w:t>
      </w:r>
    </w:p>
    <w:p w:rsidR="00000000" w:rsidRDefault="00F80EEC">
      <w:pPr>
        <w:pStyle w:val="a3"/>
        <w:spacing w:before="0" w:beforeAutospacing="0" w:after="0" w:afterAutospacing="0"/>
        <w:jc w:val="both"/>
        <w:rPr>
          <w:i/>
          <w:iCs/>
          <w:sz w:val="22"/>
          <w:szCs w:val="22"/>
        </w:rPr>
      </w:pPr>
      <w:r>
        <w:rPr>
          <w:b/>
          <w:bCs/>
          <w:i/>
          <w:iCs/>
          <w:sz w:val="22"/>
          <w:szCs w:val="22"/>
        </w:rPr>
        <w:t>«Выпуск»</w:t>
      </w:r>
      <w:r>
        <w:rPr>
          <w:i/>
          <w:iCs/>
          <w:sz w:val="22"/>
          <w:szCs w:val="22"/>
        </w:rPr>
        <w:t xml:space="preserve"> - настоящий выпуск Биржевых</w:t>
      </w:r>
      <w:r>
        <w:rPr>
          <w:i/>
          <w:iCs/>
          <w:sz w:val="22"/>
          <w:szCs w:val="22"/>
        </w:rPr>
        <w:t xml:space="preserve"> облигаций, размещаемых в рамках Программы;</w:t>
      </w:r>
    </w:p>
    <w:p w:rsidR="00000000" w:rsidRDefault="00F80EEC">
      <w:pPr>
        <w:pStyle w:val="a3"/>
        <w:spacing w:before="0" w:beforeAutospacing="0" w:after="0" w:afterAutospacing="0"/>
        <w:jc w:val="both"/>
        <w:rPr>
          <w:i/>
          <w:iCs/>
          <w:sz w:val="22"/>
          <w:szCs w:val="22"/>
        </w:rPr>
      </w:pPr>
      <w:r>
        <w:rPr>
          <w:b/>
          <w:bCs/>
          <w:i/>
          <w:iCs/>
          <w:sz w:val="22"/>
          <w:szCs w:val="22"/>
        </w:rPr>
        <w:t>«Биржевая облигация» или «Биржевая облигация выпуска»</w:t>
      </w:r>
      <w:r>
        <w:rPr>
          <w:i/>
          <w:iCs/>
          <w:sz w:val="22"/>
          <w:szCs w:val="22"/>
        </w:rPr>
        <w:t xml:space="preserve"> означает биржевую облигацию, размещаемую в рамках настоящего Выпуска;</w:t>
      </w:r>
    </w:p>
    <w:p w:rsidR="00000000" w:rsidRDefault="00F80EEC">
      <w:pPr>
        <w:pStyle w:val="a3"/>
        <w:spacing w:before="0" w:beforeAutospacing="0" w:after="0" w:afterAutospacing="0"/>
        <w:jc w:val="both"/>
        <w:rPr>
          <w:i/>
          <w:iCs/>
          <w:sz w:val="22"/>
          <w:szCs w:val="22"/>
        </w:rPr>
      </w:pPr>
      <w:r>
        <w:rPr>
          <w:b/>
          <w:bCs/>
          <w:i/>
          <w:iCs/>
          <w:sz w:val="22"/>
          <w:szCs w:val="22"/>
        </w:rPr>
        <w:t>«Эмитент»</w:t>
      </w:r>
      <w:r>
        <w:rPr>
          <w:i/>
          <w:iCs/>
          <w:sz w:val="22"/>
          <w:szCs w:val="22"/>
        </w:rPr>
        <w:t xml:space="preserve"> означает Банк ВТБ (публичное акционерное общество), сокращенно - Банк ВТБ (ПАО</w:t>
      </w:r>
      <w:r>
        <w:rPr>
          <w:i/>
          <w:iCs/>
          <w:sz w:val="22"/>
          <w:szCs w:val="22"/>
        </w:rPr>
        <w:t>).</w:t>
      </w:r>
    </w:p>
    <w:p w:rsidR="00000000" w:rsidRDefault="00F80EEC">
      <w:pPr>
        <w:pStyle w:val="a3"/>
        <w:spacing w:before="0" w:beforeAutospacing="0"/>
        <w:jc w:val="both"/>
        <w:rPr>
          <w:i/>
          <w:iCs/>
          <w:sz w:val="22"/>
          <w:szCs w:val="22"/>
        </w:rPr>
      </w:pPr>
      <w:r>
        <w:rPr>
          <w:b/>
          <w:bCs/>
          <w:i/>
          <w:iCs/>
          <w:sz w:val="22"/>
          <w:szCs w:val="22"/>
        </w:rPr>
        <w:t>Иные термины, используемые в настоящем документе, имеют значение, определенное в Программе и Решении о выпуске.</w:t>
      </w:r>
    </w:p>
    <w:p w:rsidR="00000000" w:rsidRDefault="00F80EEC">
      <w:pPr>
        <w:pStyle w:val="a3"/>
        <w:spacing w:after="0" w:afterAutospacing="0"/>
        <w:jc w:val="both"/>
        <w:rPr>
          <w:sz w:val="22"/>
          <w:szCs w:val="22"/>
        </w:rPr>
      </w:pPr>
      <w:r>
        <w:rPr>
          <w:sz w:val="22"/>
          <w:szCs w:val="22"/>
        </w:rPr>
        <w:t>1. Вид, категория (тип), идентификационные признаки ценных бумаг:</w:t>
      </w:r>
    </w:p>
    <w:p w:rsidR="00000000" w:rsidRDefault="00F80EEC">
      <w:pPr>
        <w:pStyle w:val="a3"/>
        <w:spacing w:before="0" w:beforeAutospacing="0" w:after="0" w:afterAutospacing="0"/>
        <w:jc w:val="both"/>
        <w:rPr>
          <w:sz w:val="22"/>
          <w:szCs w:val="22"/>
        </w:rPr>
      </w:pPr>
      <w:r>
        <w:rPr>
          <w:sz w:val="22"/>
          <w:szCs w:val="22"/>
        </w:rPr>
        <w:t xml:space="preserve">Вид ценных бумаг: </w:t>
      </w:r>
      <w:r>
        <w:rPr>
          <w:b/>
          <w:bCs/>
          <w:i/>
          <w:iCs/>
          <w:sz w:val="22"/>
          <w:szCs w:val="22"/>
        </w:rPr>
        <w:t>биржевые облигации.</w:t>
      </w:r>
    </w:p>
    <w:p w:rsidR="00000000" w:rsidRDefault="00F80EEC">
      <w:pPr>
        <w:pStyle w:val="a3"/>
        <w:spacing w:before="0" w:beforeAutospacing="0"/>
        <w:jc w:val="both"/>
        <w:rPr>
          <w:sz w:val="22"/>
          <w:szCs w:val="22"/>
        </w:rPr>
      </w:pPr>
      <w:r>
        <w:rPr>
          <w:sz w:val="22"/>
          <w:szCs w:val="22"/>
        </w:rPr>
        <w:t xml:space="preserve">Иные идентификационные признаки размещаемых ценных бумаг: </w:t>
      </w:r>
      <w:r>
        <w:rPr>
          <w:b/>
          <w:bCs/>
          <w:i/>
          <w:iCs/>
          <w:sz w:val="22"/>
          <w:szCs w:val="22"/>
        </w:rPr>
        <w:t>биржевые облигации процентные неконвертируемые бездокументарные с централизованным учетом прав серии Б-1-331.</w:t>
      </w:r>
    </w:p>
    <w:p w:rsidR="00000000" w:rsidRDefault="00F80EEC">
      <w:pPr>
        <w:pStyle w:val="a3"/>
        <w:jc w:val="both"/>
        <w:rPr>
          <w:sz w:val="22"/>
          <w:szCs w:val="22"/>
        </w:rPr>
      </w:pPr>
      <w:r>
        <w:rPr>
          <w:sz w:val="22"/>
          <w:szCs w:val="22"/>
        </w:rPr>
        <w:t xml:space="preserve">Регистрационный номер выпуска: </w:t>
      </w:r>
      <w:r>
        <w:rPr>
          <w:b/>
          <w:bCs/>
          <w:i/>
          <w:iCs/>
          <w:sz w:val="22"/>
          <w:szCs w:val="22"/>
        </w:rPr>
        <w:t>4B02-331-01000-B-001P от 07.08.2023.</w:t>
      </w:r>
    </w:p>
    <w:p w:rsidR="00000000" w:rsidRDefault="00F80EEC">
      <w:pPr>
        <w:pStyle w:val="a3"/>
        <w:spacing w:after="0" w:afterAutospacing="0"/>
        <w:jc w:val="both"/>
        <w:rPr>
          <w:sz w:val="22"/>
          <w:szCs w:val="22"/>
        </w:rPr>
      </w:pPr>
      <w:r>
        <w:rPr>
          <w:sz w:val="22"/>
          <w:szCs w:val="22"/>
        </w:rPr>
        <w:t>2. Количество размещ</w:t>
      </w:r>
      <w:r>
        <w:rPr>
          <w:sz w:val="22"/>
          <w:szCs w:val="22"/>
        </w:rPr>
        <w:t>аемых эмиссионных ценных бумаг:</w:t>
      </w:r>
    </w:p>
    <w:p w:rsidR="00000000" w:rsidRDefault="00F80EEC">
      <w:pPr>
        <w:pStyle w:val="a3"/>
        <w:spacing w:before="0" w:beforeAutospacing="0"/>
        <w:jc w:val="both"/>
        <w:rPr>
          <w:sz w:val="22"/>
          <w:szCs w:val="22"/>
        </w:rPr>
      </w:pPr>
      <w:r>
        <w:rPr>
          <w:b/>
          <w:bCs/>
          <w:i/>
          <w:iCs/>
          <w:sz w:val="22"/>
          <w:szCs w:val="22"/>
        </w:rPr>
        <w:t>Примерное количество размещаемых Биржевых облигаций: 3 000 000 (Три миллиона) штук.</w:t>
      </w:r>
    </w:p>
    <w:p w:rsidR="00000000" w:rsidRDefault="00F80EEC">
      <w:pPr>
        <w:pStyle w:val="a3"/>
        <w:jc w:val="both"/>
        <w:rPr>
          <w:sz w:val="22"/>
          <w:szCs w:val="22"/>
        </w:rPr>
      </w:pPr>
      <w:r>
        <w:rPr>
          <w:sz w:val="22"/>
          <w:szCs w:val="22"/>
        </w:rPr>
        <w:t>3. Срок размещения ценных бумаг.</w:t>
      </w:r>
    </w:p>
    <w:p w:rsidR="00000000" w:rsidRDefault="00F80EEC">
      <w:pPr>
        <w:pStyle w:val="a3"/>
        <w:jc w:val="both"/>
        <w:rPr>
          <w:sz w:val="22"/>
          <w:szCs w:val="22"/>
        </w:rPr>
      </w:pPr>
      <w:r>
        <w:rPr>
          <w:sz w:val="22"/>
          <w:szCs w:val="22"/>
        </w:rPr>
        <w:t xml:space="preserve">Дата начала размещения ценных бумаг: </w:t>
      </w:r>
      <w:r>
        <w:rPr>
          <w:b/>
          <w:bCs/>
          <w:i/>
          <w:iCs/>
          <w:sz w:val="22"/>
          <w:szCs w:val="22"/>
        </w:rPr>
        <w:t>15 апреля 2026.</w:t>
      </w:r>
    </w:p>
    <w:p w:rsidR="00000000" w:rsidRDefault="00F80EEC">
      <w:pPr>
        <w:pStyle w:val="a3"/>
        <w:jc w:val="both"/>
        <w:rPr>
          <w:sz w:val="22"/>
          <w:szCs w:val="22"/>
        </w:rPr>
      </w:pPr>
      <w:r>
        <w:rPr>
          <w:b/>
          <w:bCs/>
          <w:i/>
          <w:iCs/>
          <w:sz w:val="22"/>
          <w:szCs w:val="22"/>
        </w:rPr>
        <w:t>Дата начала размещения Биржевых облигаций может быть п</w:t>
      </w:r>
      <w:r>
        <w:rPr>
          <w:b/>
          <w:bCs/>
          <w:i/>
          <w:iCs/>
          <w:sz w:val="22"/>
          <w:szCs w:val="22"/>
        </w:rPr>
        <w:t>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rsidR="00000000" w:rsidRDefault="00F80EEC">
      <w:pPr>
        <w:pStyle w:val="a3"/>
        <w:spacing w:after="0" w:afterAutospacing="0"/>
        <w:jc w:val="both"/>
        <w:rPr>
          <w:sz w:val="22"/>
          <w:szCs w:val="22"/>
        </w:rPr>
      </w:pPr>
      <w:r>
        <w:rPr>
          <w:sz w:val="22"/>
          <w:szCs w:val="22"/>
        </w:rPr>
        <w:t>Дата ок</w:t>
      </w:r>
      <w:r>
        <w:rPr>
          <w:sz w:val="22"/>
          <w:szCs w:val="22"/>
        </w:rPr>
        <w:t xml:space="preserve">ончания размещения ценных бумаг: </w:t>
      </w:r>
      <w:r>
        <w:rPr>
          <w:b/>
          <w:bCs/>
          <w:i/>
          <w:iCs/>
          <w:sz w:val="22"/>
          <w:szCs w:val="22"/>
        </w:rPr>
        <w:t>дата окончания размещения ценных бумаг совпадает с датой начала размещения ценных бумаг.</w:t>
      </w:r>
    </w:p>
    <w:p w:rsidR="00000000" w:rsidRDefault="00F80EEC">
      <w:pPr>
        <w:pStyle w:val="a3"/>
        <w:spacing w:before="0" w:beforeAutospacing="0"/>
        <w:jc w:val="both"/>
        <w:rPr>
          <w:sz w:val="22"/>
          <w:szCs w:val="22"/>
        </w:rPr>
      </w:pPr>
      <w:r>
        <w:rPr>
          <w:b/>
          <w:bCs/>
          <w:i/>
          <w:iCs/>
          <w:sz w:val="22"/>
          <w:szCs w:val="22"/>
        </w:rPr>
        <w:t>Биржевые облигации не предполагается размещать траншами.</w:t>
      </w:r>
    </w:p>
    <w:p w:rsidR="00000000" w:rsidRDefault="00F80EEC">
      <w:pPr>
        <w:pStyle w:val="a3"/>
        <w:spacing w:after="0" w:afterAutospacing="0"/>
        <w:jc w:val="both"/>
        <w:rPr>
          <w:sz w:val="22"/>
          <w:szCs w:val="22"/>
        </w:rPr>
      </w:pPr>
      <w:r>
        <w:rPr>
          <w:sz w:val="22"/>
          <w:szCs w:val="22"/>
        </w:rPr>
        <w:t>4. Порядок приобретения ценных бумаг при их размещении</w:t>
      </w:r>
    </w:p>
    <w:p w:rsidR="00000000" w:rsidRDefault="00F80EEC">
      <w:pPr>
        <w:pStyle w:val="a3"/>
        <w:spacing w:before="0" w:beforeAutospacing="0"/>
        <w:jc w:val="both"/>
        <w:rPr>
          <w:sz w:val="22"/>
          <w:szCs w:val="22"/>
        </w:rPr>
      </w:pPr>
      <w:r>
        <w:rPr>
          <w:sz w:val="22"/>
          <w:szCs w:val="22"/>
        </w:rPr>
        <w:t>4.1. Способ размещения</w:t>
      </w:r>
      <w:r>
        <w:rPr>
          <w:sz w:val="22"/>
          <w:szCs w:val="22"/>
        </w:rPr>
        <w:t xml:space="preserve"> ценных бумаг: </w:t>
      </w:r>
      <w:r>
        <w:rPr>
          <w:b/>
          <w:bCs/>
          <w:i/>
          <w:iCs/>
          <w:sz w:val="22"/>
          <w:szCs w:val="22"/>
        </w:rPr>
        <w:t>Открытая подписка.</w:t>
      </w:r>
    </w:p>
    <w:p w:rsidR="00000000" w:rsidRDefault="00F80EEC">
      <w:pPr>
        <w:pStyle w:val="a3"/>
        <w:spacing w:after="0" w:afterAutospacing="0"/>
        <w:jc w:val="both"/>
        <w:rPr>
          <w:sz w:val="22"/>
          <w:szCs w:val="22"/>
        </w:rPr>
      </w:pPr>
      <w:r>
        <w:rPr>
          <w:sz w:val="22"/>
          <w:szCs w:val="22"/>
        </w:rPr>
        <w:t>4.2. Порядок размещения ценных бумаг.</w:t>
      </w:r>
    </w:p>
    <w:p w:rsidR="00000000" w:rsidRDefault="00F80EEC">
      <w:pPr>
        <w:pStyle w:val="a3"/>
        <w:spacing w:before="0" w:beforeAutospacing="0" w:after="0" w:afterAutospacing="0"/>
        <w:jc w:val="both"/>
        <w:rPr>
          <w:sz w:val="22"/>
          <w:szCs w:val="22"/>
        </w:rPr>
      </w:pPr>
      <w:r>
        <w:rPr>
          <w:sz w:val="22"/>
          <w:szCs w:val="22"/>
        </w:rPr>
        <w:t>4.2.1. Указываются порядок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дата (порядок определения даты) их заключения, а в случае, если заключен</w:t>
      </w:r>
      <w:r>
        <w:rPr>
          <w:sz w:val="22"/>
          <w:szCs w:val="22"/>
        </w:rPr>
        <w:t>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w:t>
      </w:r>
      <w:r>
        <w:rPr>
          <w:sz w:val="22"/>
          <w:szCs w:val="22"/>
        </w:rPr>
        <w:t>довлетворении) заявок):</w:t>
      </w:r>
    </w:p>
    <w:p w:rsidR="00000000" w:rsidRDefault="00F80EEC">
      <w:pPr>
        <w:pStyle w:val="a3"/>
        <w:spacing w:before="0" w:beforeAutospacing="0"/>
        <w:jc w:val="both"/>
        <w:rPr>
          <w:b/>
          <w:bCs/>
          <w:i/>
          <w:iCs/>
          <w:sz w:val="22"/>
          <w:szCs w:val="22"/>
        </w:rPr>
      </w:pPr>
      <w:r>
        <w:rPr>
          <w:b/>
          <w:bCs/>
          <w:i/>
          <w:iCs/>
          <w:sz w:val="22"/>
          <w:szCs w:val="22"/>
        </w:rPr>
        <w:t xml:space="preserve">Размещение Биржевых облигаций проводится по цене размещения Биржевых облигаций, установленной в п.4.3 настоящего документа (далее - «Цена размещения»). </w:t>
      </w:r>
    </w:p>
    <w:p w:rsidR="00000000" w:rsidRDefault="00F80EEC">
      <w:pPr>
        <w:pStyle w:val="a3"/>
        <w:jc w:val="both"/>
        <w:rPr>
          <w:b/>
          <w:bCs/>
          <w:i/>
          <w:iCs/>
          <w:sz w:val="22"/>
          <w:szCs w:val="22"/>
        </w:rPr>
      </w:pPr>
      <w:r>
        <w:rPr>
          <w:b/>
          <w:bCs/>
          <w:i/>
          <w:iCs/>
          <w:sz w:val="22"/>
          <w:szCs w:val="22"/>
        </w:rPr>
        <w:t>Сделки при размещении Биржевых облигаций заключаются в Публичном акционерном об</w:t>
      </w:r>
      <w:r>
        <w:rPr>
          <w:b/>
          <w:bCs/>
          <w:i/>
          <w:iCs/>
          <w:sz w:val="22"/>
          <w:szCs w:val="22"/>
        </w:rPr>
        <w:t>ществе «Московская Биржа ММВБ-РТС» (далее – «Биржа»)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на фондовом рынке, р</w:t>
      </w:r>
      <w:r>
        <w:rPr>
          <w:b/>
          <w:bCs/>
          <w:i/>
          <w:iCs/>
          <w:sz w:val="22"/>
          <w:szCs w:val="22"/>
        </w:rPr>
        <w:t xml:space="preserve">ынке депозитов и рынке кредитов Публичного акционерного общества «Московская Биржа ММВБ-РТС» (далее – «Правила Биржи»), зарегистрированными в установленном </w:t>
      </w:r>
      <w:r>
        <w:rPr>
          <w:b/>
          <w:bCs/>
          <w:i/>
          <w:iCs/>
          <w:sz w:val="22"/>
          <w:szCs w:val="22"/>
        </w:rPr>
        <w:lastRenderedPageBreak/>
        <w:t>законодательством Российской Федерации порядке и действующими на дату проведения торгов, при этом уд</w:t>
      </w:r>
      <w:r>
        <w:rPr>
          <w:b/>
          <w:bCs/>
          <w:i/>
          <w:iCs/>
          <w:sz w:val="22"/>
          <w:szCs w:val="22"/>
        </w:rPr>
        <w:t>овлетворение заявок при размещении осуществляется в том числе с учетом ст. 11 Федерального закона от 11.06.2021 N 192-ФЗ "О внесении изменений в отдельные законодательные акты Российской Федерации". Удовлетворение заявок не допускается в отношении иностран</w:t>
      </w:r>
      <w:r>
        <w:rPr>
          <w:b/>
          <w:bCs/>
          <w:i/>
          <w:iCs/>
          <w:sz w:val="22"/>
          <w:szCs w:val="22"/>
        </w:rPr>
        <w:t>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w:t>
      </w:r>
      <w:r>
        <w:rPr>
          <w:b/>
          <w:bCs/>
          <w:i/>
          <w:iCs/>
          <w:sz w:val="22"/>
          <w:szCs w:val="22"/>
        </w:rPr>
        <w:t xml:space="preserve">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w:t>
      </w:r>
      <w:r>
        <w:rPr>
          <w:b/>
          <w:bCs/>
          <w:i/>
          <w:iCs/>
          <w:sz w:val="22"/>
          <w:szCs w:val="22"/>
        </w:rPr>
        <w:t>или места преимущественного ведения ими хозяйственной деятельности.</w:t>
      </w:r>
    </w:p>
    <w:p w:rsidR="00000000" w:rsidRDefault="00F80EEC">
      <w:pPr>
        <w:pStyle w:val="a3"/>
        <w:spacing w:after="0" w:afterAutospacing="0"/>
        <w:jc w:val="both"/>
        <w:rPr>
          <w:b/>
          <w:bCs/>
          <w:i/>
          <w:iCs/>
          <w:sz w:val="22"/>
          <w:szCs w:val="22"/>
        </w:rPr>
      </w:pPr>
      <w:r>
        <w:rPr>
          <w:b/>
          <w:bCs/>
          <w:i/>
          <w:iCs/>
          <w:sz w:val="22"/>
          <w:szCs w:val="22"/>
        </w:rPr>
        <w:t>В случае, если потенциальный приобретатель не является участником торгов (далее – «Участник торгов»), он должен заключить соответствующий договор с любым Участником торгов, и дать ему пору</w:t>
      </w:r>
      <w:r>
        <w:rPr>
          <w:b/>
          <w:bCs/>
          <w:i/>
          <w:iCs/>
          <w:sz w:val="22"/>
          <w:szCs w:val="22"/>
        </w:rPr>
        <w:t>чение на приобретение Биржевых облигаций. Потенциальный приобретатель Биржевых облигаций, являющийся Участником торгов, действует самостоятельно.</w:t>
      </w:r>
    </w:p>
    <w:p w:rsidR="00000000" w:rsidRDefault="00F80EEC">
      <w:pPr>
        <w:pStyle w:val="a3"/>
        <w:spacing w:before="0" w:beforeAutospacing="0"/>
        <w:jc w:val="both"/>
        <w:rPr>
          <w:b/>
          <w:bCs/>
          <w:i/>
          <w:iCs/>
          <w:sz w:val="22"/>
          <w:szCs w:val="22"/>
        </w:rPr>
      </w:pPr>
      <w:r>
        <w:rPr>
          <w:b/>
          <w:bCs/>
          <w:i/>
          <w:iCs/>
          <w:sz w:val="22"/>
          <w:szCs w:val="22"/>
        </w:rPr>
        <w:t>Потенциальный приобретатель обязан открыть соответствующий счёт депо в НРД или в другом Депозитарии. Порядок и</w:t>
      </w:r>
      <w:r>
        <w:rPr>
          <w:b/>
          <w:bCs/>
          <w:i/>
          <w:iCs/>
          <w:sz w:val="22"/>
          <w:szCs w:val="22"/>
        </w:rPr>
        <w:t xml:space="preserve"> сроки открытия счетов депо определяются положениями регламентов соответствующих депозитариев.</w:t>
      </w:r>
    </w:p>
    <w:p w:rsidR="00000000" w:rsidRDefault="00F80EEC">
      <w:pPr>
        <w:pStyle w:val="a3"/>
        <w:jc w:val="both"/>
        <w:rPr>
          <w:b/>
          <w:bCs/>
          <w:i/>
          <w:iCs/>
          <w:sz w:val="22"/>
          <w:szCs w:val="22"/>
        </w:rPr>
      </w:pPr>
      <w:r>
        <w:rPr>
          <w:b/>
          <w:bCs/>
          <w:i/>
          <w:iCs/>
          <w:sz w:val="22"/>
          <w:szCs w:val="22"/>
        </w:rPr>
        <w:t>Адресные заявки на покупку Биржевых облигаций и адресные заявки на продажу Биржевых облигаций подаются с использованием Системы торгов в электронном виде, при эт</w:t>
      </w:r>
      <w:r>
        <w:rPr>
          <w:b/>
          <w:bCs/>
          <w:i/>
          <w:iCs/>
          <w:sz w:val="22"/>
          <w:szCs w:val="22"/>
        </w:rPr>
        <w:t>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rsidR="00000000" w:rsidRDefault="00F80EEC">
      <w:pPr>
        <w:pStyle w:val="a3"/>
        <w:jc w:val="both"/>
        <w:rPr>
          <w:b/>
          <w:bCs/>
          <w:i/>
          <w:iCs/>
          <w:sz w:val="22"/>
          <w:szCs w:val="22"/>
        </w:rPr>
      </w:pPr>
      <w:r>
        <w:rPr>
          <w:b/>
          <w:bCs/>
          <w:i/>
          <w:iCs/>
          <w:sz w:val="22"/>
          <w:szCs w:val="22"/>
        </w:rPr>
        <w:t>Отдельные письменные уведомления (сообщения) об удовлетворении (об отказе в удовлетвор</w:t>
      </w:r>
      <w:r>
        <w:rPr>
          <w:b/>
          <w:bCs/>
          <w:i/>
          <w:iCs/>
          <w:sz w:val="22"/>
          <w:szCs w:val="22"/>
        </w:rPr>
        <w:t xml:space="preserve">ении) заявок, Участникам торгов не направляются. </w:t>
      </w:r>
    </w:p>
    <w:p w:rsidR="00000000" w:rsidRDefault="00F80EEC">
      <w:pPr>
        <w:pStyle w:val="a3"/>
        <w:jc w:val="both"/>
        <w:rPr>
          <w:b/>
          <w:bCs/>
          <w:i/>
          <w:iCs/>
          <w:sz w:val="22"/>
          <w:szCs w:val="22"/>
        </w:rPr>
      </w:pPr>
      <w:r>
        <w:rPr>
          <w:b/>
          <w:bCs/>
          <w:i/>
          <w:iCs/>
          <w:sz w:val="22"/>
          <w:szCs w:val="22"/>
        </w:rPr>
        <w:t>Размещение Биржевых облигаций осуществляется путем сбора адресных заявок со стороны приобретателей на приобретение Биржевых облигаций по фиксированной цене и ставке купонного дохода на все купонные периоды,</w:t>
      </w:r>
      <w:r>
        <w:rPr>
          <w:b/>
          <w:bCs/>
          <w:i/>
          <w:iCs/>
          <w:sz w:val="22"/>
          <w:szCs w:val="22"/>
        </w:rPr>
        <w:t xml:space="preserve"> установленной Решением о выпуске ценных бумаг (далее – «Размещение Биржевых облигаций путем сбора адресных заявок»), с предварительным сбором заявок на приобретение Биржевых облигаций на торгах Биржи.</w:t>
      </w:r>
    </w:p>
    <w:p w:rsidR="00000000" w:rsidRDefault="00F80EEC">
      <w:pPr>
        <w:pStyle w:val="a3"/>
        <w:jc w:val="both"/>
        <w:rPr>
          <w:b/>
          <w:bCs/>
          <w:i/>
          <w:iCs/>
          <w:sz w:val="22"/>
          <w:szCs w:val="22"/>
        </w:rPr>
      </w:pPr>
      <w:r>
        <w:rPr>
          <w:b/>
          <w:bCs/>
          <w:i/>
          <w:iCs/>
          <w:sz w:val="22"/>
          <w:szCs w:val="22"/>
        </w:rPr>
        <w:t>Размещение Биржевых облигаций путем сбора адресных зая</w:t>
      </w:r>
      <w:r>
        <w:rPr>
          <w:b/>
          <w:bCs/>
          <w:i/>
          <w:iCs/>
          <w:sz w:val="22"/>
          <w:szCs w:val="22"/>
        </w:rPr>
        <w:t>вок предусматривает адресованное потенциальным приобретателям приглашение делать предложения (оферты) о приобретении размещаемых ценных бумаг. Адресные заявки со стороны приобретателей являются офертами участников торгов на приобретение размещаемых Биржевы</w:t>
      </w:r>
      <w:r>
        <w:rPr>
          <w:b/>
          <w:bCs/>
          <w:i/>
          <w:iCs/>
          <w:sz w:val="22"/>
          <w:szCs w:val="22"/>
        </w:rPr>
        <w:t>х облигаций.</w:t>
      </w:r>
    </w:p>
    <w:p w:rsidR="00000000" w:rsidRDefault="00F80EEC">
      <w:pPr>
        <w:pStyle w:val="a3"/>
        <w:jc w:val="both"/>
        <w:rPr>
          <w:b/>
          <w:bCs/>
          <w:i/>
          <w:iCs/>
          <w:sz w:val="22"/>
          <w:szCs w:val="22"/>
        </w:rPr>
      </w:pPr>
      <w:r>
        <w:rPr>
          <w:b/>
          <w:bCs/>
          <w:i/>
          <w:iCs/>
          <w:sz w:val="22"/>
          <w:szCs w:val="22"/>
        </w:rPr>
        <w:t>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w:t>
      </w:r>
      <w:r>
        <w:rPr>
          <w:b/>
          <w:bCs/>
          <w:i/>
          <w:iCs/>
          <w:sz w:val="22"/>
          <w:szCs w:val="22"/>
        </w:rPr>
        <w:t xml:space="preserve"> адресных заявок, с указанием количества бумаг, которое Эмитент желает продать данному приобретателю. При этом Участник торгов соглашается с тем, что его заявка может быть отклонена, акцептована полностью или в части.</w:t>
      </w:r>
    </w:p>
    <w:p w:rsidR="00000000" w:rsidRDefault="00F80EEC">
      <w:pPr>
        <w:pStyle w:val="a3"/>
        <w:jc w:val="both"/>
        <w:rPr>
          <w:b/>
          <w:bCs/>
          <w:i/>
          <w:iCs/>
          <w:sz w:val="22"/>
          <w:szCs w:val="22"/>
        </w:rPr>
      </w:pPr>
      <w:r>
        <w:rPr>
          <w:b/>
          <w:bCs/>
          <w:i/>
          <w:iCs/>
          <w:sz w:val="22"/>
          <w:szCs w:val="22"/>
        </w:rPr>
        <w:t>В дату начала размещения Биржевых обли</w:t>
      </w:r>
      <w:r>
        <w:rPr>
          <w:b/>
          <w:bCs/>
          <w:i/>
          <w:iCs/>
          <w:sz w:val="22"/>
          <w:szCs w:val="22"/>
        </w:rPr>
        <w:t>гаций Участники торгов в течение периода подачи заявок на приобретение Биржевых облигаций по фиксированной цене и ставке купонного дохода на все купонные периоды подают адресные заявки на приобретение Биржевых облигаций с использованием Системы торгов, как</w:t>
      </w:r>
      <w:r>
        <w:rPr>
          <w:b/>
          <w:bCs/>
          <w:i/>
          <w:iCs/>
          <w:sz w:val="22"/>
          <w:szCs w:val="22"/>
        </w:rPr>
        <w:t xml:space="preserve"> за свой счет, так и за счет и по поручению клиентов в адрес Эмитента.</w:t>
      </w:r>
    </w:p>
    <w:p w:rsidR="00000000" w:rsidRDefault="00F80EEC">
      <w:pPr>
        <w:pStyle w:val="a3"/>
        <w:jc w:val="both"/>
        <w:rPr>
          <w:b/>
          <w:bCs/>
          <w:i/>
          <w:iCs/>
          <w:sz w:val="22"/>
          <w:szCs w:val="22"/>
        </w:rPr>
      </w:pPr>
      <w:r>
        <w:rPr>
          <w:b/>
          <w:bCs/>
          <w:i/>
          <w:iCs/>
          <w:sz w:val="22"/>
          <w:szCs w:val="22"/>
        </w:rPr>
        <w:lastRenderedPageBreak/>
        <w:t>Время и порядок подачи адресных заявок в течение периода подачи заявок по фиксированной цене и ставке купонного дохода на все купонные периоды устанавливается Биржей по согласованию с Э</w:t>
      </w:r>
      <w:r>
        <w:rPr>
          <w:b/>
          <w:bCs/>
          <w:i/>
          <w:iCs/>
          <w:sz w:val="22"/>
          <w:szCs w:val="22"/>
        </w:rPr>
        <w:t>митентом.</w:t>
      </w:r>
    </w:p>
    <w:p w:rsidR="00000000" w:rsidRDefault="00F80EEC">
      <w:pPr>
        <w:pStyle w:val="a3"/>
        <w:jc w:val="both"/>
        <w:rPr>
          <w:b/>
          <w:bCs/>
          <w:i/>
          <w:iCs/>
          <w:sz w:val="22"/>
          <w:szCs w:val="22"/>
        </w:rPr>
      </w:pPr>
      <w:r>
        <w:rPr>
          <w:b/>
          <w:bCs/>
          <w:i/>
          <w:iCs/>
          <w:sz w:val="22"/>
          <w:szCs w:val="22"/>
        </w:rPr>
        <w:t>Заявки на приобретение Биржевых облигаций направляются Участниками торгов в адрес Эмитента.</w:t>
      </w:r>
    </w:p>
    <w:p w:rsidR="00000000" w:rsidRDefault="00F80EEC">
      <w:pPr>
        <w:pStyle w:val="a3"/>
        <w:spacing w:after="0" w:afterAutospacing="0"/>
        <w:jc w:val="both"/>
        <w:rPr>
          <w:b/>
          <w:bCs/>
          <w:i/>
          <w:iCs/>
          <w:sz w:val="22"/>
          <w:szCs w:val="22"/>
        </w:rPr>
      </w:pPr>
      <w:r>
        <w:rPr>
          <w:b/>
          <w:bCs/>
          <w:i/>
          <w:iCs/>
          <w:sz w:val="22"/>
          <w:szCs w:val="22"/>
        </w:rPr>
        <w:t>Заявка на приобретение должна содержать следующие значимые условия:</w:t>
      </w:r>
    </w:p>
    <w:p w:rsidR="00000000" w:rsidRDefault="00F80EEC">
      <w:pPr>
        <w:pStyle w:val="a3"/>
        <w:spacing w:before="0" w:beforeAutospacing="0" w:after="0" w:afterAutospacing="0"/>
        <w:jc w:val="both"/>
        <w:rPr>
          <w:b/>
          <w:bCs/>
          <w:i/>
          <w:iCs/>
          <w:sz w:val="22"/>
          <w:szCs w:val="22"/>
        </w:rPr>
      </w:pPr>
      <w:r>
        <w:rPr>
          <w:b/>
          <w:bCs/>
          <w:i/>
          <w:iCs/>
          <w:sz w:val="22"/>
          <w:szCs w:val="22"/>
        </w:rPr>
        <w:t xml:space="preserve">- цена приобретения (100% от номинальной стоимости Биржевой облигации); </w:t>
      </w:r>
    </w:p>
    <w:p w:rsidR="00000000" w:rsidRDefault="00F80EEC">
      <w:pPr>
        <w:pStyle w:val="a3"/>
        <w:spacing w:before="0" w:beforeAutospacing="0" w:after="0" w:afterAutospacing="0"/>
        <w:jc w:val="both"/>
        <w:rPr>
          <w:b/>
          <w:bCs/>
          <w:i/>
          <w:iCs/>
          <w:sz w:val="22"/>
          <w:szCs w:val="22"/>
        </w:rPr>
      </w:pPr>
      <w:r>
        <w:rPr>
          <w:b/>
          <w:bCs/>
          <w:i/>
          <w:iCs/>
          <w:sz w:val="22"/>
          <w:szCs w:val="22"/>
        </w:rPr>
        <w:t>- количество Биржевых облигаций;</w:t>
      </w:r>
    </w:p>
    <w:p w:rsidR="00000000" w:rsidRDefault="00F80EEC">
      <w:pPr>
        <w:pStyle w:val="a3"/>
        <w:spacing w:before="0" w:beforeAutospacing="0" w:after="0" w:afterAutospacing="0"/>
        <w:jc w:val="both"/>
        <w:rPr>
          <w:b/>
          <w:bCs/>
          <w:i/>
          <w:iCs/>
          <w:sz w:val="22"/>
          <w:szCs w:val="22"/>
        </w:rPr>
      </w:pPr>
      <w:r>
        <w:rPr>
          <w:b/>
          <w:bCs/>
          <w:i/>
          <w:iCs/>
          <w:sz w:val="22"/>
          <w:szCs w:val="22"/>
        </w:rPr>
        <w:t>- код расчетов - код,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w:t>
      </w:r>
      <w:r>
        <w:rPr>
          <w:b/>
          <w:bCs/>
          <w:i/>
          <w:iCs/>
          <w:sz w:val="22"/>
          <w:szCs w:val="22"/>
        </w:rPr>
        <w:t>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000000" w:rsidRDefault="00F80EEC">
      <w:pPr>
        <w:pStyle w:val="a3"/>
        <w:spacing w:before="0" w:beforeAutospacing="0"/>
        <w:jc w:val="both"/>
        <w:rPr>
          <w:b/>
          <w:bCs/>
          <w:i/>
          <w:iCs/>
          <w:sz w:val="22"/>
          <w:szCs w:val="22"/>
        </w:rPr>
      </w:pPr>
      <w:r>
        <w:rPr>
          <w:b/>
          <w:bCs/>
          <w:i/>
          <w:iCs/>
          <w:sz w:val="22"/>
          <w:szCs w:val="22"/>
        </w:rPr>
        <w:t>- прочие параметры в соответствии с Правилами Биржи.</w:t>
      </w:r>
    </w:p>
    <w:p w:rsidR="00000000" w:rsidRDefault="00F80EEC">
      <w:pPr>
        <w:pStyle w:val="a3"/>
        <w:jc w:val="both"/>
        <w:rPr>
          <w:b/>
          <w:bCs/>
          <w:i/>
          <w:iCs/>
          <w:sz w:val="22"/>
          <w:szCs w:val="22"/>
        </w:rPr>
      </w:pPr>
      <w:r>
        <w:rPr>
          <w:b/>
          <w:bCs/>
          <w:i/>
          <w:iCs/>
          <w:sz w:val="22"/>
          <w:szCs w:val="22"/>
        </w:rPr>
        <w:t>В качестве цены приобретения должна быть указана Цена размеще</w:t>
      </w:r>
      <w:r>
        <w:rPr>
          <w:b/>
          <w:bCs/>
          <w:i/>
          <w:iCs/>
          <w:sz w:val="22"/>
          <w:szCs w:val="22"/>
        </w:rPr>
        <w:t>ния.</w:t>
      </w:r>
    </w:p>
    <w:p w:rsidR="00000000" w:rsidRDefault="00F80EEC">
      <w:pPr>
        <w:pStyle w:val="a3"/>
        <w:jc w:val="both"/>
        <w:rPr>
          <w:b/>
          <w:bCs/>
          <w:i/>
          <w:iCs/>
          <w:sz w:val="22"/>
          <w:szCs w:val="22"/>
        </w:rPr>
      </w:pPr>
      <w:r>
        <w:rPr>
          <w:b/>
          <w:bCs/>
          <w:i/>
          <w:iCs/>
          <w:sz w:val="22"/>
          <w:szCs w:val="22"/>
        </w:rPr>
        <w:t>В качестве количества Биржевых облигаций должно быть указано максимальное количество Биржевых облигаций, которое потенциальный приобретатель хотел бы приобрести по определенной до даты начала размещения процентной ставке купонного дохода на все купонн</w:t>
      </w:r>
      <w:r>
        <w:rPr>
          <w:b/>
          <w:bCs/>
          <w:i/>
          <w:iCs/>
          <w:sz w:val="22"/>
          <w:szCs w:val="22"/>
        </w:rPr>
        <w:t>ые периоды, установленной Решением о выпуске ценных бумаг.</w:t>
      </w:r>
    </w:p>
    <w:p w:rsidR="00000000" w:rsidRDefault="00F80EEC">
      <w:pPr>
        <w:pStyle w:val="a3"/>
        <w:jc w:val="both"/>
        <w:rPr>
          <w:b/>
          <w:bCs/>
          <w:i/>
          <w:iCs/>
          <w:sz w:val="22"/>
          <w:szCs w:val="22"/>
        </w:rPr>
      </w:pPr>
      <w:r>
        <w:rPr>
          <w:b/>
          <w:bCs/>
          <w:i/>
          <w:iCs/>
          <w:sz w:val="22"/>
          <w:szCs w:val="22"/>
        </w:rPr>
        <w:t>Заявки, не соответствующие изложенным выше требованиям, не принимаются.</w:t>
      </w:r>
    </w:p>
    <w:p w:rsidR="00000000" w:rsidRDefault="00F80EEC">
      <w:pPr>
        <w:pStyle w:val="a3"/>
        <w:jc w:val="both"/>
        <w:rPr>
          <w:b/>
          <w:bCs/>
          <w:i/>
          <w:iCs/>
          <w:sz w:val="22"/>
          <w:szCs w:val="22"/>
        </w:rPr>
      </w:pPr>
      <w:r>
        <w:rPr>
          <w:b/>
          <w:bCs/>
          <w:i/>
          <w:iCs/>
          <w:sz w:val="22"/>
          <w:szCs w:val="22"/>
        </w:rPr>
        <w:t>Приобретение Биржевых облигаций Эмитента в ходе их размещения не может быть осуществлено за счет Эмитента.</w:t>
      </w:r>
    </w:p>
    <w:p w:rsidR="00000000" w:rsidRDefault="00F80EEC">
      <w:pPr>
        <w:pStyle w:val="a3"/>
        <w:jc w:val="both"/>
        <w:rPr>
          <w:b/>
          <w:bCs/>
          <w:i/>
          <w:iCs/>
          <w:sz w:val="22"/>
          <w:szCs w:val="22"/>
        </w:rPr>
      </w:pPr>
      <w:r>
        <w:rPr>
          <w:b/>
          <w:bCs/>
          <w:i/>
          <w:iCs/>
          <w:sz w:val="22"/>
          <w:szCs w:val="22"/>
        </w:rPr>
        <w:t>В дату начала разм</w:t>
      </w:r>
      <w:r>
        <w:rPr>
          <w:b/>
          <w:bCs/>
          <w:i/>
          <w:iCs/>
          <w:sz w:val="22"/>
          <w:szCs w:val="22"/>
        </w:rPr>
        <w:t>ещения Биржевых облигаций после проведения процедуры активации заявок, поданных Участниками торгов в Период предварительного сбора заявок, и по окончании периода подачи заявок на приобретение Биржевых облигаций, выставленных в Дату начала размещения Облига</w:t>
      </w:r>
      <w:r>
        <w:rPr>
          <w:b/>
          <w:bCs/>
          <w:i/>
          <w:iCs/>
          <w:sz w:val="22"/>
          <w:szCs w:val="22"/>
        </w:rPr>
        <w:t>ций, Биржа составляет сводный реестр заявок на приобретение ценных бумаг (далее – «Сводный реестр заявок») и передает его Эмитенту.</w:t>
      </w:r>
    </w:p>
    <w:p w:rsidR="00000000" w:rsidRDefault="00F80EEC">
      <w:pPr>
        <w:pStyle w:val="a3"/>
        <w:jc w:val="both"/>
        <w:rPr>
          <w:b/>
          <w:bCs/>
          <w:i/>
          <w:iCs/>
          <w:sz w:val="22"/>
          <w:szCs w:val="22"/>
        </w:rPr>
      </w:pPr>
      <w:r>
        <w:rPr>
          <w:b/>
          <w:bCs/>
          <w:i/>
          <w:iCs/>
          <w:sz w:val="22"/>
          <w:szCs w:val="22"/>
        </w:rPr>
        <w:t>Сводный реестр заявок содержит все значимые условия каждой заявки – цену приобретения, количество ценных бумаг, дату и время</w:t>
      </w:r>
      <w:r>
        <w:rPr>
          <w:b/>
          <w:bCs/>
          <w:i/>
          <w:iCs/>
          <w:sz w:val="22"/>
          <w:szCs w:val="22"/>
        </w:rPr>
        <w:t xml:space="preserve"> поступления заявки, номер заявки, а также иные реквизиты в соответствии с Правилами Биржи.</w:t>
      </w:r>
    </w:p>
    <w:p w:rsidR="00000000" w:rsidRDefault="00F80EEC">
      <w:pPr>
        <w:pStyle w:val="a3"/>
        <w:jc w:val="both"/>
        <w:rPr>
          <w:b/>
          <w:bCs/>
          <w:i/>
          <w:iCs/>
          <w:sz w:val="22"/>
          <w:szCs w:val="22"/>
        </w:rPr>
      </w:pPr>
      <w:r>
        <w:rPr>
          <w:b/>
          <w:bCs/>
          <w:i/>
          <w:iCs/>
          <w:sz w:val="22"/>
          <w:szCs w:val="22"/>
        </w:rPr>
        <w:t>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w:t>
      </w:r>
      <w:r>
        <w:rPr>
          <w:b/>
          <w:bCs/>
          <w:i/>
          <w:iCs/>
          <w:sz w:val="22"/>
          <w:szCs w:val="22"/>
        </w:rPr>
        <w:t>гаций, которые он намеревается продать данным приобретателям.</w:t>
      </w:r>
    </w:p>
    <w:p w:rsidR="00000000" w:rsidRDefault="00F80EEC">
      <w:pPr>
        <w:pStyle w:val="a3"/>
        <w:jc w:val="both"/>
        <w:rPr>
          <w:b/>
          <w:bCs/>
          <w:i/>
          <w:iCs/>
          <w:sz w:val="22"/>
          <w:szCs w:val="22"/>
        </w:rPr>
      </w:pPr>
      <w:r>
        <w:rPr>
          <w:b/>
          <w:bCs/>
          <w:i/>
          <w:iCs/>
          <w:sz w:val="22"/>
          <w:szCs w:val="22"/>
        </w:rPr>
        <w:t>Эмитент заключает сделки купли-продажи Биржевых облигаций путем подачи в Систему торгов встречных заявок по отношению к Заявкам, поданным Участниками торгов, которым Эмитент намеревается продать</w:t>
      </w:r>
      <w:r>
        <w:rPr>
          <w:b/>
          <w:bCs/>
          <w:i/>
          <w:iCs/>
          <w:sz w:val="22"/>
          <w:szCs w:val="22"/>
        </w:rPr>
        <w:t xml:space="preserve"> Биржевые облигации, при этом удовлетворение заявок при размещении осуществляется в том числе с учетом ст. 11 Федерального закона от 11.06.2021 N 192-ФЗ "О внесении изменений в отдельные законодательные акты Российской Федерации". Удовлетворение заявок не </w:t>
      </w:r>
      <w:r>
        <w:rPr>
          <w:b/>
          <w:bCs/>
          <w:i/>
          <w:iCs/>
          <w:sz w:val="22"/>
          <w:szCs w:val="22"/>
        </w:rPr>
        <w:t xml:space="preserve">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w:t>
      </w:r>
      <w:r>
        <w:rPr>
          <w:b/>
          <w:bCs/>
          <w:i/>
          <w:iCs/>
          <w:sz w:val="22"/>
          <w:szCs w:val="22"/>
        </w:rPr>
        <w:t>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w:t>
      </w:r>
      <w:r>
        <w:rPr>
          <w:b/>
          <w:bCs/>
          <w:i/>
          <w:iCs/>
          <w:sz w:val="22"/>
          <w:szCs w:val="22"/>
        </w:rPr>
        <w:t>ависимо от места их регистрации или места преимущественного ведения ими хозяйственной деятельности.</w:t>
      </w:r>
    </w:p>
    <w:p w:rsidR="00000000" w:rsidRDefault="00F80EEC">
      <w:pPr>
        <w:pStyle w:val="a3"/>
        <w:jc w:val="both"/>
        <w:rPr>
          <w:b/>
          <w:bCs/>
          <w:i/>
          <w:iCs/>
          <w:sz w:val="22"/>
          <w:szCs w:val="22"/>
        </w:rPr>
      </w:pPr>
      <w:r>
        <w:rPr>
          <w:b/>
          <w:bCs/>
          <w:i/>
          <w:iCs/>
          <w:sz w:val="22"/>
          <w:szCs w:val="22"/>
        </w:rPr>
        <w:lastRenderedPageBreak/>
        <w:t>Факт невыставления встречной адресной заявки Эмитентом будет означать, что Эмитентом было принято решение об отклонении Заявки. Неудовлетворенные заявки Уча</w:t>
      </w:r>
      <w:r>
        <w:rPr>
          <w:b/>
          <w:bCs/>
          <w:i/>
          <w:iCs/>
          <w:sz w:val="22"/>
          <w:szCs w:val="22"/>
        </w:rPr>
        <w:t>стников торгов отклоняются Эмитентом. Эмитент не направляет Участникам торгов отдельных письменных уведомлений (сообщений) об удовлетворении (об отказе в удовлетворении) заявок.</w:t>
      </w:r>
    </w:p>
    <w:p w:rsidR="00000000" w:rsidRDefault="00F80EEC">
      <w:pPr>
        <w:pStyle w:val="a3"/>
        <w:jc w:val="both"/>
        <w:rPr>
          <w:b/>
          <w:bCs/>
          <w:i/>
          <w:iCs/>
          <w:sz w:val="22"/>
          <w:szCs w:val="22"/>
        </w:rPr>
      </w:pPr>
      <w:r>
        <w:rPr>
          <w:b/>
          <w:bCs/>
          <w:i/>
          <w:iCs/>
          <w:sz w:val="22"/>
          <w:szCs w:val="22"/>
        </w:rPr>
        <w:t>После удовлетворения заявок, поданных в Период предварительного сбора заявок и</w:t>
      </w:r>
      <w:r>
        <w:rPr>
          <w:b/>
          <w:bCs/>
          <w:i/>
          <w:iCs/>
          <w:sz w:val="22"/>
          <w:szCs w:val="22"/>
        </w:rPr>
        <w:t xml:space="preserve"> поданных в течение периода подачи заявок в Дату начала размещения Облигаций, в случае неполного размещения выпуска Биржевых облигаций по его итогам, Участники торгов, действующие как за свой счет, так и за счет и по поручению потенциальных приобретателей,</w:t>
      </w:r>
      <w:r>
        <w:rPr>
          <w:b/>
          <w:bCs/>
          <w:i/>
          <w:iCs/>
          <w:sz w:val="22"/>
          <w:szCs w:val="22"/>
        </w:rPr>
        <w:t xml:space="preserve"> могут в течение срока размещения подавать адресные заявки на приобретение Биржевых облигаций по Цене размещения в адрес Эмитента. Эмитент рассматривает такие заявки и определяет приобретателей, которым он намеревается продать Биржевые облигации, а также к</w:t>
      </w:r>
      <w:r>
        <w:rPr>
          <w:b/>
          <w:bCs/>
          <w:i/>
          <w:iCs/>
          <w:sz w:val="22"/>
          <w:szCs w:val="22"/>
        </w:rPr>
        <w:t>оличество Биржевых облигаций, которые он намеревается продать данным приобретателям.</w:t>
      </w:r>
    </w:p>
    <w:p w:rsidR="00000000" w:rsidRDefault="00F80EEC">
      <w:pPr>
        <w:pStyle w:val="a3"/>
        <w:jc w:val="both"/>
        <w:rPr>
          <w:b/>
          <w:bCs/>
          <w:i/>
          <w:iCs/>
          <w:sz w:val="22"/>
          <w:szCs w:val="22"/>
        </w:rPr>
      </w:pPr>
      <w:r>
        <w:rPr>
          <w:b/>
          <w:bCs/>
          <w:i/>
          <w:iCs/>
          <w:sz w:val="22"/>
          <w:szCs w:val="22"/>
        </w:rPr>
        <w:t>Эмитент заключает сделки купли-продажи Биржевых облигаций путем подачи в Систему торгов встречных заявок по отношению к Заявкам, поданным Участниками торгов, которым Эмите</w:t>
      </w:r>
      <w:r>
        <w:rPr>
          <w:b/>
          <w:bCs/>
          <w:i/>
          <w:iCs/>
          <w:sz w:val="22"/>
          <w:szCs w:val="22"/>
        </w:rPr>
        <w:t>нт намеревается продать Биржевые облигации с указанием количества бумаг, которое желает продать данному приобретателю, при этом удовлетворение заявок при размещении осуществляется в том числе с учетом ст. 11 Федерального закона от 11.06.2021 N 192-ФЗ "О вн</w:t>
      </w:r>
      <w:r>
        <w:rPr>
          <w:b/>
          <w:bCs/>
          <w:i/>
          <w:iCs/>
          <w:sz w:val="22"/>
          <w:szCs w:val="22"/>
        </w:rPr>
        <w:t>есении изменений в отдельные законодательные акты Российской Федерации".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w:t>
      </w:r>
      <w:r>
        <w:rPr>
          <w:b/>
          <w:bCs/>
          <w:i/>
          <w:iCs/>
          <w:sz w:val="22"/>
          <w:szCs w:val="22"/>
        </w:rPr>
        <w:t>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w:t>
      </w:r>
      <w:r>
        <w:rPr>
          <w:b/>
          <w:bCs/>
          <w:i/>
          <w:iCs/>
          <w:sz w:val="22"/>
          <w:szCs w:val="22"/>
        </w:rPr>
        <w:t>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p>
    <w:p w:rsidR="00000000" w:rsidRDefault="00F80EEC">
      <w:pPr>
        <w:pStyle w:val="a3"/>
        <w:jc w:val="both"/>
        <w:rPr>
          <w:sz w:val="22"/>
          <w:szCs w:val="22"/>
        </w:rPr>
      </w:pPr>
      <w:r>
        <w:rPr>
          <w:sz w:val="22"/>
          <w:szCs w:val="22"/>
        </w:rPr>
        <w:t>4.2.2. Указывается наличие возможности преимущественного п</w:t>
      </w:r>
      <w:r>
        <w:rPr>
          <w:sz w:val="22"/>
          <w:szCs w:val="22"/>
        </w:rPr>
        <w:t xml:space="preserve">рава приобретения размещаемых ценных бумаг, в том числе возможности осуществления преимущественного права приобретения ценных бумаг, предусмотренного статьями 40 и 41 Федерального закона "Об акционерных обществах": </w:t>
      </w:r>
      <w:r>
        <w:rPr>
          <w:b/>
          <w:bCs/>
          <w:i/>
          <w:iCs/>
          <w:sz w:val="22"/>
          <w:szCs w:val="22"/>
        </w:rPr>
        <w:t>возможность преимущественного приобретени</w:t>
      </w:r>
      <w:r>
        <w:rPr>
          <w:b/>
          <w:bCs/>
          <w:i/>
          <w:iCs/>
          <w:sz w:val="22"/>
          <w:szCs w:val="22"/>
        </w:rPr>
        <w:t>я Биржевых облигаций не установлена.</w:t>
      </w:r>
    </w:p>
    <w:p w:rsidR="00000000" w:rsidRDefault="00F80EEC">
      <w:pPr>
        <w:pStyle w:val="a3"/>
        <w:spacing w:after="0" w:afterAutospacing="0"/>
        <w:jc w:val="both"/>
        <w:rPr>
          <w:sz w:val="22"/>
          <w:szCs w:val="22"/>
        </w:rPr>
      </w:pPr>
      <w:r>
        <w:rPr>
          <w:sz w:val="22"/>
          <w:szCs w:val="22"/>
        </w:rPr>
        <w:t>4.2.3. Указываются лицо, которому эмитент выдает (направляет) распоряжение (поручение), являющееся основанием для внесения приходных записей по лицевым счетам (счетам депо) первых владельцев и (или) номинальных держател</w:t>
      </w:r>
      <w:r>
        <w:rPr>
          <w:sz w:val="22"/>
          <w:szCs w:val="22"/>
        </w:rPr>
        <w:t>ей, срок и иные условия направления распоряжения (поручения):</w:t>
      </w:r>
    </w:p>
    <w:p w:rsidR="00000000" w:rsidRDefault="00F80EEC">
      <w:pPr>
        <w:pStyle w:val="a3"/>
        <w:spacing w:before="0" w:beforeAutospacing="0" w:after="0" w:afterAutospacing="0"/>
        <w:jc w:val="both"/>
        <w:rPr>
          <w:sz w:val="22"/>
          <w:szCs w:val="22"/>
        </w:rPr>
      </w:pPr>
      <w:r>
        <w:rPr>
          <w:b/>
          <w:bCs/>
          <w:i/>
          <w:iCs/>
          <w:sz w:val="22"/>
          <w:szCs w:val="22"/>
        </w:rPr>
        <w:t>Внесение приходных записей по лицевым счетам (счетам депо) первых владельцев и (или) номинальных держателей Биржевых облигаций осуществляет:</w:t>
      </w:r>
    </w:p>
    <w:p w:rsidR="00000000" w:rsidRDefault="00F80EEC">
      <w:pPr>
        <w:pStyle w:val="a3"/>
        <w:spacing w:before="0" w:beforeAutospacing="0" w:after="0" w:afterAutospacing="0"/>
        <w:jc w:val="both"/>
        <w:rPr>
          <w:sz w:val="22"/>
          <w:szCs w:val="22"/>
        </w:rPr>
      </w:pPr>
      <w:r>
        <w:rPr>
          <w:sz w:val="22"/>
          <w:szCs w:val="22"/>
        </w:rPr>
        <w:t xml:space="preserve">Полное фирменное наименование на русском языке: </w:t>
      </w:r>
      <w:r>
        <w:rPr>
          <w:b/>
          <w:bCs/>
          <w:i/>
          <w:iCs/>
          <w:sz w:val="22"/>
          <w:szCs w:val="22"/>
        </w:rPr>
        <w:t>Небан</w:t>
      </w:r>
      <w:r>
        <w:rPr>
          <w:b/>
          <w:bCs/>
          <w:i/>
          <w:iCs/>
          <w:sz w:val="22"/>
          <w:szCs w:val="22"/>
        </w:rPr>
        <w:t>ковская кредитная организация акционерное общество «Национальный расчетный депозитарий».</w:t>
      </w:r>
    </w:p>
    <w:p w:rsidR="00000000" w:rsidRDefault="00F80EEC">
      <w:pPr>
        <w:pStyle w:val="a3"/>
        <w:spacing w:before="0" w:beforeAutospacing="0" w:after="0" w:afterAutospacing="0"/>
        <w:jc w:val="both"/>
        <w:rPr>
          <w:sz w:val="22"/>
          <w:szCs w:val="22"/>
        </w:rPr>
      </w:pPr>
      <w:r>
        <w:rPr>
          <w:sz w:val="22"/>
          <w:szCs w:val="22"/>
        </w:rPr>
        <w:t xml:space="preserve">Сокращенное фирменное наименование на русском языке: </w:t>
      </w:r>
      <w:r>
        <w:rPr>
          <w:b/>
          <w:bCs/>
          <w:i/>
          <w:iCs/>
          <w:sz w:val="22"/>
          <w:szCs w:val="22"/>
        </w:rPr>
        <w:t>НКО АО НРД.</w:t>
      </w:r>
    </w:p>
    <w:p w:rsidR="00000000" w:rsidRDefault="00F80EEC">
      <w:pPr>
        <w:pStyle w:val="a3"/>
        <w:spacing w:before="0" w:beforeAutospacing="0" w:after="0" w:afterAutospacing="0"/>
        <w:jc w:val="both"/>
        <w:rPr>
          <w:sz w:val="22"/>
          <w:szCs w:val="22"/>
        </w:rPr>
      </w:pPr>
      <w:r>
        <w:rPr>
          <w:sz w:val="22"/>
          <w:szCs w:val="22"/>
        </w:rPr>
        <w:t xml:space="preserve">Место нахождения: </w:t>
      </w:r>
      <w:r>
        <w:rPr>
          <w:b/>
          <w:bCs/>
          <w:i/>
          <w:iCs/>
          <w:sz w:val="22"/>
          <w:szCs w:val="22"/>
        </w:rPr>
        <w:t>Российская Федерация, город Москва</w:t>
      </w:r>
    </w:p>
    <w:p w:rsidR="00000000" w:rsidRDefault="00F80EEC">
      <w:pPr>
        <w:pStyle w:val="a3"/>
        <w:spacing w:before="0" w:beforeAutospacing="0" w:after="0" w:afterAutospacing="0"/>
        <w:jc w:val="both"/>
        <w:rPr>
          <w:sz w:val="22"/>
          <w:szCs w:val="22"/>
        </w:rPr>
      </w:pPr>
      <w:r>
        <w:rPr>
          <w:sz w:val="22"/>
          <w:szCs w:val="22"/>
        </w:rPr>
        <w:t xml:space="preserve">Почтовый адрес: </w:t>
      </w:r>
      <w:r>
        <w:rPr>
          <w:b/>
          <w:bCs/>
          <w:i/>
          <w:iCs/>
          <w:sz w:val="22"/>
          <w:szCs w:val="22"/>
        </w:rPr>
        <w:t>105066, г. Москва, ул. Спартаковс</w:t>
      </w:r>
      <w:r>
        <w:rPr>
          <w:b/>
          <w:bCs/>
          <w:i/>
          <w:iCs/>
          <w:sz w:val="22"/>
          <w:szCs w:val="22"/>
        </w:rPr>
        <w:t>кая, дом 12</w:t>
      </w:r>
    </w:p>
    <w:p w:rsidR="00000000" w:rsidRDefault="00F80EEC">
      <w:pPr>
        <w:pStyle w:val="a3"/>
        <w:spacing w:before="0" w:beforeAutospacing="0"/>
        <w:jc w:val="both"/>
        <w:rPr>
          <w:sz w:val="22"/>
          <w:szCs w:val="22"/>
        </w:rPr>
      </w:pPr>
      <w:r>
        <w:rPr>
          <w:sz w:val="22"/>
          <w:szCs w:val="22"/>
        </w:rPr>
        <w:t xml:space="preserve">ИНН: </w:t>
      </w:r>
      <w:r>
        <w:rPr>
          <w:b/>
          <w:bCs/>
          <w:i/>
          <w:iCs/>
          <w:sz w:val="22"/>
          <w:szCs w:val="22"/>
        </w:rPr>
        <w:t>7702165310</w:t>
      </w:r>
    </w:p>
    <w:p w:rsidR="00000000" w:rsidRDefault="00F80EEC">
      <w:pPr>
        <w:pStyle w:val="a3"/>
        <w:jc w:val="both"/>
        <w:rPr>
          <w:sz w:val="22"/>
          <w:szCs w:val="22"/>
        </w:rPr>
      </w:pPr>
      <w:r>
        <w:rPr>
          <w:b/>
          <w:bCs/>
          <w:i/>
          <w:iCs/>
          <w:sz w:val="22"/>
          <w:szCs w:val="22"/>
        </w:rPr>
        <w:t>Срок и иные условия учета прав на Биржевые облигации 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w:t>
      </w:r>
      <w:r>
        <w:rPr>
          <w:b/>
          <w:bCs/>
          <w:i/>
          <w:iCs/>
          <w:sz w:val="22"/>
          <w:szCs w:val="22"/>
        </w:rPr>
        <w:t>итария.</w:t>
      </w:r>
    </w:p>
    <w:p w:rsidR="00000000" w:rsidRDefault="00F80EEC">
      <w:pPr>
        <w:pStyle w:val="a3"/>
        <w:jc w:val="both"/>
        <w:rPr>
          <w:sz w:val="22"/>
          <w:szCs w:val="22"/>
        </w:rPr>
      </w:pPr>
      <w:r>
        <w:rPr>
          <w:sz w:val="22"/>
          <w:szCs w:val="22"/>
        </w:rPr>
        <w:t xml:space="preserve">4.2.4. В случае размещения акционерным обществом акций, ценных бумаг, конвертируемых в акции, и опционов эмитента путем закрытой подписки только среди всех акционеров с </w:t>
      </w:r>
      <w:r>
        <w:rPr>
          <w:sz w:val="22"/>
          <w:szCs w:val="22"/>
        </w:rPr>
        <w:lastRenderedPageBreak/>
        <w:t xml:space="preserve">предоставлением указанным акционерам возможности приобретения целого числа размещаемых </w:t>
      </w:r>
      <w:r>
        <w:rPr>
          <w:sz w:val="22"/>
          <w:szCs w:val="22"/>
        </w:rPr>
        <w:t xml:space="preserve">ценных бумаг, пропорционального количеству принадлежащих им акций соответствующей категории (типа), указываются: </w:t>
      </w:r>
      <w:r>
        <w:rPr>
          <w:b/>
          <w:bCs/>
          <w:i/>
          <w:iCs/>
          <w:sz w:val="22"/>
          <w:szCs w:val="22"/>
        </w:rPr>
        <w:t>не применимо.</w:t>
      </w:r>
    </w:p>
    <w:p w:rsidR="00000000" w:rsidRDefault="00F80EEC">
      <w:pPr>
        <w:pStyle w:val="a3"/>
        <w:jc w:val="both"/>
        <w:rPr>
          <w:sz w:val="22"/>
          <w:szCs w:val="22"/>
        </w:rPr>
      </w:pPr>
      <w:r>
        <w:rPr>
          <w:sz w:val="22"/>
          <w:szCs w:val="22"/>
        </w:rPr>
        <w:t>4.2.5. В случае если ценные бумаги размещаются посредством подписки путем проведения торгов, указываются полное фирменное наимено</w:t>
      </w:r>
      <w:r>
        <w:rPr>
          <w:sz w:val="22"/>
          <w:szCs w:val="22"/>
        </w:rPr>
        <w:t>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rsidR="00000000" w:rsidRDefault="00F80EEC">
      <w:pPr>
        <w:pStyle w:val="a3"/>
        <w:spacing w:after="0" w:afterAutospacing="0"/>
        <w:jc w:val="both"/>
        <w:rPr>
          <w:sz w:val="22"/>
          <w:szCs w:val="22"/>
        </w:rPr>
      </w:pPr>
      <w:r>
        <w:rPr>
          <w:sz w:val="22"/>
          <w:szCs w:val="22"/>
        </w:rPr>
        <w:t>Сведения о лице, организующем проведение торгов (ранее и дал</w:t>
      </w:r>
      <w:r>
        <w:rPr>
          <w:sz w:val="22"/>
          <w:szCs w:val="22"/>
        </w:rPr>
        <w:t>ее – «Организатор торговли», «Биржа»):</w:t>
      </w:r>
    </w:p>
    <w:p w:rsidR="00000000" w:rsidRDefault="00F80EEC">
      <w:pPr>
        <w:pStyle w:val="a3"/>
        <w:spacing w:before="0" w:beforeAutospacing="0" w:after="0" w:afterAutospacing="0"/>
        <w:jc w:val="both"/>
        <w:rPr>
          <w:sz w:val="22"/>
          <w:szCs w:val="22"/>
        </w:rPr>
      </w:pPr>
      <w:r>
        <w:rPr>
          <w:sz w:val="22"/>
          <w:szCs w:val="22"/>
        </w:rPr>
        <w:t xml:space="preserve">Полное фирменное наименование: </w:t>
      </w:r>
      <w:r>
        <w:rPr>
          <w:b/>
          <w:bCs/>
          <w:i/>
          <w:iCs/>
          <w:sz w:val="22"/>
          <w:szCs w:val="22"/>
        </w:rPr>
        <w:t>Публичное акционерное общество «Московская Биржа ММВБ-РТС»</w:t>
      </w:r>
    </w:p>
    <w:p w:rsidR="00000000" w:rsidRDefault="00F80EEC">
      <w:pPr>
        <w:pStyle w:val="a3"/>
        <w:spacing w:before="0" w:beforeAutospacing="0" w:after="0" w:afterAutospacing="0"/>
        <w:jc w:val="both"/>
        <w:rPr>
          <w:sz w:val="22"/>
          <w:szCs w:val="22"/>
        </w:rPr>
      </w:pPr>
      <w:r>
        <w:rPr>
          <w:sz w:val="22"/>
          <w:szCs w:val="22"/>
        </w:rPr>
        <w:t xml:space="preserve">Место нахождения: </w:t>
      </w:r>
      <w:r>
        <w:rPr>
          <w:b/>
          <w:bCs/>
          <w:i/>
          <w:iCs/>
          <w:sz w:val="22"/>
          <w:szCs w:val="22"/>
        </w:rPr>
        <w:t>Российская Федерация, г. Москва</w:t>
      </w:r>
    </w:p>
    <w:p w:rsidR="00000000" w:rsidRDefault="00F80EEC">
      <w:pPr>
        <w:pStyle w:val="a3"/>
        <w:spacing w:before="0" w:beforeAutospacing="0"/>
        <w:jc w:val="both"/>
        <w:rPr>
          <w:sz w:val="22"/>
          <w:szCs w:val="22"/>
        </w:rPr>
      </w:pPr>
      <w:r>
        <w:rPr>
          <w:sz w:val="22"/>
          <w:szCs w:val="22"/>
        </w:rPr>
        <w:t xml:space="preserve">ОГРН: </w:t>
      </w:r>
      <w:r>
        <w:rPr>
          <w:b/>
          <w:bCs/>
          <w:i/>
          <w:iCs/>
          <w:sz w:val="22"/>
          <w:szCs w:val="22"/>
        </w:rPr>
        <w:t>1027739387411</w:t>
      </w:r>
    </w:p>
    <w:p w:rsidR="00000000" w:rsidRDefault="00F80EEC">
      <w:pPr>
        <w:pStyle w:val="a3"/>
        <w:jc w:val="both"/>
        <w:rPr>
          <w:sz w:val="22"/>
          <w:szCs w:val="22"/>
        </w:rPr>
      </w:pPr>
      <w:r>
        <w:rPr>
          <w:sz w:val="22"/>
          <w:szCs w:val="22"/>
        </w:rPr>
        <w:t>4.2.6. В случае, если эмитент и (или) уполномоченное им л</w:t>
      </w:r>
      <w:r>
        <w:rPr>
          <w:sz w:val="22"/>
          <w:szCs w:val="22"/>
        </w:rPr>
        <w:t xml:space="preserve">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w:t>
      </w:r>
      <w:r>
        <w:rPr>
          <w:sz w:val="22"/>
          <w:szCs w:val="22"/>
        </w:rPr>
        <w:t xml:space="preserve">бумаг, указывается порядок заключения таких предварительных договоров или порядок подачи таких предварительных заявок: </w:t>
      </w:r>
    </w:p>
    <w:p w:rsidR="00000000" w:rsidRDefault="00F80EEC">
      <w:pPr>
        <w:pStyle w:val="a3"/>
        <w:jc w:val="both"/>
        <w:rPr>
          <w:b/>
          <w:bCs/>
          <w:i/>
          <w:iCs/>
          <w:sz w:val="22"/>
          <w:szCs w:val="22"/>
        </w:rPr>
      </w:pPr>
      <w:r>
        <w:rPr>
          <w:b/>
          <w:bCs/>
          <w:i/>
          <w:iCs/>
          <w:sz w:val="22"/>
          <w:szCs w:val="22"/>
        </w:rPr>
        <w:t>Эмитент намеревается предварительно собирать на организованных торгах Биржи заявки на приобретение размещаемых Облигаций в соответствии</w:t>
      </w:r>
      <w:r>
        <w:rPr>
          <w:b/>
          <w:bCs/>
          <w:i/>
          <w:iCs/>
          <w:sz w:val="22"/>
          <w:szCs w:val="22"/>
        </w:rPr>
        <w:t xml:space="preserve"> с порядком, указанным ниже. Участники торгов могут подавать адресные заявки на покупку Биржевых облигаций в Период предварительного сбора заявок (как он определен ниже).</w:t>
      </w:r>
    </w:p>
    <w:p w:rsidR="00000000" w:rsidRDefault="00F80EEC">
      <w:pPr>
        <w:pStyle w:val="a3"/>
        <w:jc w:val="both"/>
        <w:rPr>
          <w:b/>
          <w:bCs/>
          <w:i/>
          <w:iCs/>
          <w:sz w:val="22"/>
          <w:szCs w:val="22"/>
        </w:rPr>
      </w:pPr>
      <w:r>
        <w:rPr>
          <w:b/>
          <w:bCs/>
          <w:i/>
          <w:iCs/>
          <w:sz w:val="22"/>
          <w:szCs w:val="22"/>
        </w:rPr>
        <w:t xml:space="preserve">Предварительный сбор адресных заявок со стороны покупателей на приобретение Биржевых </w:t>
      </w:r>
      <w:r>
        <w:rPr>
          <w:b/>
          <w:bCs/>
          <w:i/>
          <w:iCs/>
          <w:sz w:val="22"/>
          <w:szCs w:val="22"/>
        </w:rPr>
        <w:t>облигаций осуществляется до Даты начала размещения Биржевых облигаций на организованных торгах Биржи.</w:t>
      </w:r>
    </w:p>
    <w:p w:rsidR="00000000" w:rsidRDefault="00F80EEC">
      <w:pPr>
        <w:pStyle w:val="a3"/>
        <w:jc w:val="both"/>
        <w:rPr>
          <w:b/>
          <w:bCs/>
          <w:i/>
          <w:iCs/>
          <w:sz w:val="22"/>
          <w:szCs w:val="22"/>
        </w:rPr>
      </w:pPr>
      <w:r>
        <w:rPr>
          <w:b/>
          <w:bCs/>
          <w:i/>
          <w:iCs/>
          <w:sz w:val="22"/>
          <w:szCs w:val="22"/>
        </w:rPr>
        <w:t>Предварительный сбор заявок происходит ежедневно, в каждый день, в который Биржей проводятся организованные торги на фондовом рынке (далее – «Рабочий день</w:t>
      </w:r>
      <w:r>
        <w:rPr>
          <w:b/>
          <w:bCs/>
          <w:i/>
          <w:iCs/>
          <w:sz w:val="22"/>
          <w:szCs w:val="22"/>
        </w:rPr>
        <w:t xml:space="preserve"> Биржи»), приходящийся на следующий период (ранее и далее - «Период предварительного сбора заявок»). </w:t>
      </w:r>
    </w:p>
    <w:p w:rsidR="00000000" w:rsidRDefault="00F80EEC">
      <w:pPr>
        <w:pStyle w:val="a3"/>
        <w:jc w:val="both"/>
        <w:rPr>
          <w:b/>
          <w:bCs/>
          <w:i/>
          <w:iCs/>
          <w:sz w:val="22"/>
          <w:szCs w:val="22"/>
        </w:rPr>
      </w:pPr>
      <w:r>
        <w:rPr>
          <w:b/>
          <w:bCs/>
          <w:i/>
          <w:iCs/>
          <w:sz w:val="22"/>
          <w:szCs w:val="22"/>
        </w:rPr>
        <w:t>Дата начала Периода предварительного сбора заявок: 6 апреля 2026 г.</w:t>
      </w:r>
    </w:p>
    <w:p w:rsidR="00000000" w:rsidRDefault="00F80EEC">
      <w:pPr>
        <w:pStyle w:val="a3"/>
        <w:jc w:val="both"/>
        <w:rPr>
          <w:b/>
          <w:bCs/>
          <w:i/>
          <w:iCs/>
          <w:sz w:val="22"/>
          <w:szCs w:val="22"/>
        </w:rPr>
      </w:pPr>
      <w:r>
        <w:rPr>
          <w:b/>
          <w:bCs/>
          <w:i/>
          <w:iCs/>
          <w:sz w:val="22"/>
          <w:szCs w:val="22"/>
        </w:rPr>
        <w:t>Дата окончания Периода предварительного сбора заявок: 10 апреля 2026 г.</w:t>
      </w:r>
    </w:p>
    <w:p w:rsidR="00000000" w:rsidRDefault="00F80EEC">
      <w:pPr>
        <w:pStyle w:val="a3"/>
        <w:jc w:val="both"/>
        <w:rPr>
          <w:b/>
          <w:bCs/>
          <w:i/>
          <w:iCs/>
          <w:sz w:val="22"/>
          <w:szCs w:val="22"/>
        </w:rPr>
      </w:pPr>
      <w:r>
        <w:rPr>
          <w:b/>
          <w:bCs/>
          <w:i/>
          <w:iCs/>
          <w:sz w:val="22"/>
          <w:szCs w:val="22"/>
        </w:rPr>
        <w:t>Время сбора пр</w:t>
      </w:r>
      <w:r>
        <w:rPr>
          <w:b/>
          <w:bCs/>
          <w:i/>
          <w:iCs/>
          <w:sz w:val="22"/>
          <w:szCs w:val="22"/>
        </w:rPr>
        <w:t>едварительных заявок: в каждый Рабочий день Биржи в течение Периода предварительного сбора заявок с 10:00 по московскому времени до 18:30 по московскому времени (включая, во избежание сомнений, Дату начала Периода предварительного сбора заявок и Дату окон</w:t>
      </w:r>
      <w:r>
        <w:rPr>
          <w:b/>
          <w:bCs/>
          <w:i/>
          <w:iCs/>
          <w:sz w:val="22"/>
          <w:szCs w:val="22"/>
        </w:rPr>
        <w:t>чания Периода предварительного сбора заявок).</w:t>
      </w:r>
    </w:p>
    <w:p w:rsidR="00000000" w:rsidRDefault="00F80EEC">
      <w:pPr>
        <w:pStyle w:val="a3"/>
        <w:jc w:val="both"/>
        <w:rPr>
          <w:b/>
          <w:bCs/>
          <w:i/>
          <w:iCs/>
          <w:sz w:val="22"/>
          <w:szCs w:val="22"/>
        </w:rPr>
      </w:pPr>
      <w:r>
        <w:rPr>
          <w:b/>
          <w:bCs/>
          <w:i/>
          <w:iCs/>
          <w:sz w:val="22"/>
          <w:szCs w:val="22"/>
        </w:rPr>
        <w:t>В Период предварительного сбора заявок, но до Даты начала размещения Участники торгов, являющиеся потенциальными приобретателями и (или) действующие за счет потенциальных приобретателей, подают в адрес Эмитента</w:t>
      </w:r>
      <w:r>
        <w:rPr>
          <w:b/>
          <w:bCs/>
          <w:i/>
          <w:iCs/>
          <w:sz w:val="22"/>
          <w:szCs w:val="22"/>
        </w:rPr>
        <w:t xml:space="preserve"> заявки с указанием Даты активации, как она определена ниже (ранее и далее – «Дата активации»), с использованием Системы торгов в соответствии с Правилами Биржи и/или иными документами, регулирующими деятельность Биржи. Порядок подачи заявок устанавливаетс</w:t>
      </w:r>
      <w:r>
        <w:rPr>
          <w:b/>
          <w:bCs/>
          <w:i/>
          <w:iCs/>
          <w:sz w:val="22"/>
          <w:szCs w:val="22"/>
        </w:rPr>
        <w:t xml:space="preserve">я Эмитентом по согласованию c Биржей. </w:t>
      </w:r>
    </w:p>
    <w:p w:rsidR="00000000" w:rsidRDefault="00F80EEC">
      <w:pPr>
        <w:pStyle w:val="a3"/>
        <w:jc w:val="both"/>
        <w:rPr>
          <w:b/>
          <w:bCs/>
          <w:i/>
          <w:iCs/>
          <w:sz w:val="22"/>
          <w:szCs w:val="22"/>
        </w:rPr>
      </w:pPr>
      <w:r>
        <w:rPr>
          <w:b/>
          <w:bCs/>
          <w:i/>
          <w:iCs/>
          <w:sz w:val="22"/>
          <w:szCs w:val="22"/>
        </w:rPr>
        <w:t xml:space="preserve">Датой активации является Дата начала размещения Биржевых облигаций. </w:t>
      </w:r>
    </w:p>
    <w:p w:rsidR="00000000" w:rsidRDefault="00F80EEC">
      <w:pPr>
        <w:pStyle w:val="a3"/>
        <w:jc w:val="both"/>
        <w:rPr>
          <w:b/>
          <w:bCs/>
          <w:i/>
          <w:iCs/>
          <w:sz w:val="22"/>
          <w:szCs w:val="22"/>
        </w:rPr>
      </w:pPr>
      <w:r>
        <w:rPr>
          <w:b/>
          <w:bCs/>
          <w:i/>
          <w:iCs/>
          <w:sz w:val="22"/>
          <w:szCs w:val="22"/>
        </w:rPr>
        <w:t>Поданные заявки со стороны Участников торгов являются офертами о заключении договоров купли-продажи, направленных на отчуждение размещаемых Облигаци</w:t>
      </w:r>
      <w:r>
        <w:rPr>
          <w:b/>
          <w:bCs/>
          <w:i/>
          <w:iCs/>
          <w:sz w:val="22"/>
          <w:szCs w:val="22"/>
        </w:rPr>
        <w:t>й их первому владельцу.</w:t>
      </w:r>
    </w:p>
    <w:p w:rsidR="00000000" w:rsidRDefault="00F80EEC">
      <w:pPr>
        <w:pStyle w:val="a3"/>
        <w:jc w:val="both"/>
        <w:rPr>
          <w:b/>
          <w:bCs/>
          <w:i/>
          <w:iCs/>
          <w:sz w:val="22"/>
          <w:szCs w:val="22"/>
        </w:rPr>
      </w:pPr>
      <w:r>
        <w:rPr>
          <w:b/>
          <w:bCs/>
          <w:i/>
          <w:iCs/>
          <w:sz w:val="22"/>
          <w:szCs w:val="22"/>
        </w:rPr>
        <w:lastRenderedPageBreak/>
        <w:t>При этом заключение сделки по размещению Облигаций на основании заявки, поданной в Период предварительного сбора заявок в порядке и на условиях, установленных ниже, осуществляется в Дату начала размещения Биржевых облигаций.</w:t>
      </w:r>
    </w:p>
    <w:p w:rsidR="00000000" w:rsidRDefault="00F80EEC">
      <w:pPr>
        <w:pStyle w:val="a3"/>
        <w:jc w:val="both"/>
        <w:rPr>
          <w:b/>
          <w:bCs/>
          <w:i/>
          <w:iCs/>
          <w:sz w:val="22"/>
          <w:szCs w:val="22"/>
        </w:rPr>
      </w:pPr>
      <w:r>
        <w:rPr>
          <w:b/>
          <w:bCs/>
          <w:i/>
          <w:iCs/>
          <w:sz w:val="22"/>
          <w:szCs w:val="22"/>
        </w:rPr>
        <w:t>Заявк</w:t>
      </w:r>
      <w:r>
        <w:rPr>
          <w:b/>
          <w:bCs/>
          <w:i/>
          <w:iCs/>
          <w:sz w:val="22"/>
          <w:szCs w:val="22"/>
        </w:rPr>
        <w:t xml:space="preserve">а на приобретение Облигаций, которая выставляется в Период предварительного сбора заявок, должна содержать следующие значимые условия: </w:t>
      </w:r>
    </w:p>
    <w:p w:rsidR="00000000" w:rsidRDefault="00F80EEC">
      <w:pPr>
        <w:pStyle w:val="a3"/>
        <w:jc w:val="both"/>
        <w:rPr>
          <w:b/>
          <w:bCs/>
          <w:i/>
          <w:iCs/>
          <w:sz w:val="22"/>
          <w:szCs w:val="22"/>
        </w:rPr>
      </w:pPr>
      <w:r>
        <w:rPr>
          <w:b/>
          <w:bCs/>
          <w:i/>
          <w:iCs/>
          <w:sz w:val="22"/>
          <w:szCs w:val="22"/>
        </w:rPr>
        <w:t>- цена приобретения (100% от номинальной стоимости Биржевой облигации);</w:t>
      </w:r>
    </w:p>
    <w:p w:rsidR="00000000" w:rsidRDefault="00F80EEC">
      <w:pPr>
        <w:pStyle w:val="a3"/>
        <w:jc w:val="both"/>
        <w:rPr>
          <w:b/>
          <w:bCs/>
          <w:i/>
          <w:iCs/>
          <w:sz w:val="22"/>
          <w:szCs w:val="22"/>
        </w:rPr>
      </w:pPr>
      <w:r>
        <w:rPr>
          <w:b/>
          <w:bCs/>
          <w:i/>
          <w:iCs/>
          <w:sz w:val="22"/>
          <w:szCs w:val="22"/>
        </w:rPr>
        <w:t>- количество Биржевых облигаций;</w:t>
      </w:r>
    </w:p>
    <w:p w:rsidR="00000000" w:rsidRDefault="00F80EEC">
      <w:pPr>
        <w:pStyle w:val="a3"/>
        <w:jc w:val="both"/>
        <w:rPr>
          <w:b/>
          <w:bCs/>
          <w:i/>
          <w:iCs/>
          <w:sz w:val="22"/>
          <w:szCs w:val="22"/>
        </w:rPr>
      </w:pPr>
      <w:r>
        <w:rPr>
          <w:b/>
          <w:bCs/>
          <w:i/>
          <w:iCs/>
          <w:sz w:val="22"/>
          <w:szCs w:val="22"/>
        </w:rPr>
        <w:t>- код расчетов</w:t>
      </w:r>
      <w:r>
        <w:rPr>
          <w:b/>
          <w:bCs/>
          <w:i/>
          <w:iCs/>
          <w:sz w:val="22"/>
          <w:szCs w:val="22"/>
        </w:rPr>
        <w:t xml:space="preserve">,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w:t>
      </w:r>
      <w:r>
        <w:rPr>
          <w:b/>
          <w:bCs/>
          <w:i/>
          <w:iCs/>
          <w:sz w:val="22"/>
          <w:szCs w:val="22"/>
        </w:rPr>
        <w:t>а надлежащей датой исполнения сделки с ценными бумагами является дата заключения сделки;</w:t>
      </w:r>
    </w:p>
    <w:p w:rsidR="00000000" w:rsidRDefault="00F80EEC">
      <w:pPr>
        <w:pStyle w:val="a3"/>
        <w:jc w:val="both"/>
        <w:rPr>
          <w:b/>
          <w:bCs/>
          <w:i/>
          <w:iCs/>
          <w:sz w:val="22"/>
          <w:szCs w:val="22"/>
        </w:rPr>
      </w:pPr>
      <w:r>
        <w:rPr>
          <w:b/>
          <w:bCs/>
          <w:i/>
          <w:iCs/>
          <w:sz w:val="22"/>
          <w:szCs w:val="22"/>
        </w:rPr>
        <w:t>- Дата активации заявки;</w:t>
      </w:r>
    </w:p>
    <w:p w:rsidR="00000000" w:rsidRDefault="00F80EEC">
      <w:pPr>
        <w:pStyle w:val="a3"/>
        <w:jc w:val="both"/>
        <w:rPr>
          <w:b/>
          <w:bCs/>
          <w:i/>
          <w:iCs/>
          <w:sz w:val="22"/>
          <w:szCs w:val="22"/>
        </w:rPr>
      </w:pPr>
      <w:r>
        <w:rPr>
          <w:b/>
          <w:bCs/>
          <w:i/>
          <w:iCs/>
          <w:sz w:val="22"/>
          <w:szCs w:val="22"/>
        </w:rPr>
        <w:t>- прочие параметры в соответствии с Правилами Биржи.</w:t>
      </w:r>
    </w:p>
    <w:p w:rsidR="00000000" w:rsidRDefault="00F80EEC">
      <w:pPr>
        <w:pStyle w:val="a3"/>
        <w:jc w:val="both"/>
        <w:rPr>
          <w:b/>
          <w:bCs/>
          <w:i/>
          <w:iCs/>
          <w:sz w:val="22"/>
          <w:szCs w:val="22"/>
        </w:rPr>
      </w:pPr>
      <w:r>
        <w:rPr>
          <w:b/>
          <w:bCs/>
          <w:i/>
          <w:iCs/>
          <w:sz w:val="22"/>
          <w:szCs w:val="22"/>
        </w:rPr>
        <w:t>В качестве цены приобретения должна быть указана Цена размещения Биржевых облигаций.</w:t>
      </w:r>
    </w:p>
    <w:p w:rsidR="00000000" w:rsidRDefault="00F80EEC">
      <w:pPr>
        <w:pStyle w:val="a3"/>
        <w:jc w:val="both"/>
        <w:rPr>
          <w:b/>
          <w:bCs/>
          <w:i/>
          <w:iCs/>
          <w:sz w:val="22"/>
          <w:szCs w:val="22"/>
        </w:rPr>
      </w:pPr>
      <w:r>
        <w:rPr>
          <w:b/>
          <w:bCs/>
          <w:i/>
          <w:iCs/>
          <w:sz w:val="22"/>
          <w:szCs w:val="22"/>
        </w:rPr>
        <w:t>В ка</w:t>
      </w:r>
      <w:r>
        <w:rPr>
          <w:b/>
          <w:bCs/>
          <w:i/>
          <w:iCs/>
          <w:sz w:val="22"/>
          <w:szCs w:val="22"/>
        </w:rPr>
        <w:t>честве количества Биржевых облигаций должно быть указано максимальное количество Биржевых облигаций, которое потенциальный приобретатель хотел бы приобрести по определенной до даты начала размещения процентной ставке купонного дохода на все купонные период</w:t>
      </w:r>
      <w:r>
        <w:rPr>
          <w:b/>
          <w:bCs/>
          <w:i/>
          <w:iCs/>
          <w:sz w:val="22"/>
          <w:szCs w:val="22"/>
        </w:rPr>
        <w:t>ы, установленной Решением о выпуске ценных бумаг.</w:t>
      </w:r>
    </w:p>
    <w:p w:rsidR="00000000" w:rsidRDefault="00F80EEC">
      <w:pPr>
        <w:pStyle w:val="a3"/>
        <w:jc w:val="both"/>
        <w:rPr>
          <w:b/>
          <w:bCs/>
          <w:i/>
          <w:iCs/>
          <w:sz w:val="22"/>
          <w:szCs w:val="22"/>
        </w:rPr>
      </w:pPr>
      <w:r>
        <w:rPr>
          <w:b/>
          <w:bCs/>
          <w:i/>
          <w:iCs/>
          <w:sz w:val="22"/>
          <w:szCs w:val="22"/>
        </w:rPr>
        <w:t xml:space="preserve">В качестве Даты активации заявки указывается Дата начала размещения Биржевых облигаций. </w:t>
      </w:r>
    </w:p>
    <w:p w:rsidR="00000000" w:rsidRDefault="00F80EEC">
      <w:pPr>
        <w:pStyle w:val="a3"/>
        <w:jc w:val="both"/>
        <w:rPr>
          <w:b/>
          <w:bCs/>
          <w:i/>
          <w:iCs/>
          <w:sz w:val="22"/>
          <w:szCs w:val="22"/>
        </w:rPr>
      </w:pPr>
      <w:r>
        <w:rPr>
          <w:b/>
          <w:bCs/>
          <w:i/>
          <w:iCs/>
          <w:sz w:val="22"/>
          <w:szCs w:val="22"/>
        </w:rPr>
        <w:t>Заявки, не соответствующие изложенным выше требованиям, не принимаются.</w:t>
      </w:r>
    </w:p>
    <w:p w:rsidR="00000000" w:rsidRDefault="00F80EEC">
      <w:pPr>
        <w:pStyle w:val="a3"/>
        <w:jc w:val="both"/>
        <w:rPr>
          <w:b/>
          <w:bCs/>
          <w:i/>
          <w:iCs/>
          <w:sz w:val="22"/>
          <w:szCs w:val="22"/>
        </w:rPr>
      </w:pPr>
      <w:r>
        <w:rPr>
          <w:b/>
          <w:bCs/>
          <w:i/>
          <w:iCs/>
          <w:sz w:val="22"/>
          <w:szCs w:val="22"/>
        </w:rPr>
        <w:t>По окончании Периода предварительного сбора заявок Участники торгов не могут изменить или снять поданные ими заявки. Процедура контроля обеспечения по заявке, поданной в Период предварительного сбора заявок, осуществляется в соответствии с кодом расчетов в</w:t>
      </w:r>
      <w:r>
        <w:rPr>
          <w:b/>
          <w:bCs/>
          <w:i/>
          <w:iCs/>
          <w:sz w:val="22"/>
          <w:szCs w:val="22"/>
        </w:rPr>
        <w:t xml:space="preserve"> Дату активации такой заявки. В случае, если заявка не проходит проверку обеспечения, данная заявка снимается Биржей.</w:t>
      </w:r>
    </w:p>
    <w:p w:rsidR="00000000" w:rsidRDefault="00F80EEC">
      <w:pPr>
        <w:pStyle w:val="a3"/>
        <w:spacing w:after="0" w:afterAutospacing="0"/>
        <w:jc w:val="both"/>
        <w:rPr>
          <w:sz w:val="22"/>
          <w:szCs w:val="22"/>
        </w:rPr>
      </w:pPr>
      <w:r>
        <w:rPr>
          <w:sz w:val="22"/>
          <w:szCs w:val="22"/>
        </w:rPr>
        <w:t xml:space="preserve">4.2.7. В случае, если размещение ценных бумаг осуществляется эмитентом с привлечением брокеров, оказывающих эмитенту услуги по размещению </w:t>
      </w:r>
      <w:r>
        <w:rPr>
          <w:sz w:val="22"/>
          <w:szCs w:val="22"/>
        </w:rPr>
        <w:t>и (или) по организации размещения ценных бумаг (включая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p>
    <w:p w:rsidR="00000000" w:rsidRDefault="00F80EEC">
      <w:pPr>
        <w:pStyle w:val="a3"/>
        <w:jc w:val="both"/>
        <w:rPr>
          <w:sz w:val="22"/>
          <w:szCs w:val="22"/>
        </w:rPr>
      </w:pPr>
      <w:r>
        <w:rPr>
          <w:b/>
          <w:bCs/>
          <w:i/>
          <w:iCs/>
          <w:sz w:val="22"/>
          <w:szCs w:val="22"/>
        </w:rPr>
        <w:t>Размещение Биржевых облигаций осуществляется Эми</w:t>
      </w:r>
      <w:r>
        <w:rPr>
          <w:b/>
          <w:bCs/>
          <w:i/>
          <w:iCs/>
          <w:sz w:val="22"/>
          <w:szCs w:val="22"/>
        </w:rPr>
        <w:t>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w:t>
      </w:r>
    </w:p>
    <w:p w:rsidR="00000000" w:rsidRDefault="00F80EEC">
      <w:pPr>
        <w:pStyle w:val="a3"/>
        <w:jc w:val="both"/>
        <w:rPr>
          <w:sz w:val="22"/>
          <w:szCs w:val="22"/>
        </w:rPr>
      </w:pPr>
      <w:r>
        <w:rPr>
          <w:sz w:val="22"/>
          <w:szCs w:val="22"/>
        </w:rPr>
        <w:t xml:space="preserve">4.2.8. В случае, если размещение ценных бумаг предполагается осуществлять </w:t>
      </w:r>
      <w:r>
        <w:rPr>
          <w:sz w:val="22"/>
          <w:szCs w:val="22"/>
        </w:rPr>
        <w:t xml:space="preserve">за пределами Российской Федерации, в том числе посредством размещения соответствующих иностранных ценных бумаг, указывается данное обстоятельство: </w:t>
      </w:r>
      <w:r>
        <w:rPr>
          <w:b/>
          <w:bCs/>
          <w:i/>
          <w:iCs/>
          <w:sz w:val="22"/>
          <w:szCs w:val="22"/>
        </w:rPr>
        <w:t>не планируется.</w:t>
      </w:r>
    </w:p>
    <w:p w:rsidR="00000000" w:rsidRDefault="00F80EEC">
      <w:pPr>
        <w:pStyle w:val="a3"/>
        <w:jc w:val="both"/>
        <w:rPr>
          <w:sz w:val="22"/>
          <w:szCs w:val="22"/>
        </w:rPr>
      </w:pPr>
      <w:r>
        <w:rPr>
          <w:sz w:val="22"/>
          <w:szCs w:val="22"/>
        </w:rPr>
        <w:t>При наличии у эмитента сведений о намерении владельцев ранее размещенных (находящихся в обращ</w:t>
      </w:r>
      <w:r>
        <w:rPr>
          <w:sz w:val="22"/>
          <w:szCs w:val="22"/>
        </w:rPr>
        <w:t xml:space="preserve">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w:t>
      </w:r>
      <w:r>
        <w:rPr>
          <w:sz w:val="22"/>
          <w:szCs w:val="22"/>
        </w:rPr>
        <w:lastRenderedPageBreak/>
        <w:t>размещения соответствующих иностранных ценных бумаг, ранее размещенные (находящие</w:t>
      </w:r>
      <w:r>
        <w:rPr>
          <w:sz w:val="22"/>
          <w:szCs w:val="22"/>
        </w:rPr>
        <w:t xml:space="preserve">ся в обращении) ценные бумаги эмитента того же вида, категории (типа) указываются: </w:t>
      </w:r>
      <w:r>
        <w:rPr>
          <w:b/>
          <w:bCs/>
          <w:i/>
          <w:iCs/>
          <w:sz w:val="22"/>
          <w:szCs w:val="22"/>
        </w:rPr>
        <w:t>сведения отсутствуют.</w:t>
      </w:r>
    </w:p>
    <w:p w:rsidR="00000000" w:rsidRDefault="00F80EEC">
      <w:pPr>
        <w:pStyle w:val="a3"/>
        <w:jc w:val="both"/>
        <w:rPr>
          <w:sz w:val="22"/>
          <w:szCs w:val="22"/>
        </w:rPr>
      </w:pPr>
      <w:r>
        <w:rPr>
          <w:sz w:val="22"/>
          <w:szCs w:val="22"/>
        </w:rPr>
        <w:t>4.2.9. В случае, если эмитент в соответствии с Федеральным законом «О порядке осуществления иностранных инвестиций в хозяйственные общества, имеющие ст</w:t>
      </w:r>
      <w:r>
        <w:rPr>
          <w:sz w:val="22"/>
          <w:szCs w:val="22"/>
        </w:rPr>
        <w:t xml:space="preserve">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 данное обстоятельство: </w:t>
      </w:r>
      <w:r>
        <w:rPr>
          <w:b/>
          <w:bCs/>
          <w:i/>
          <w:iCs/>
          <w:sz w:val="22"/>
          <w:szCs w:val="22"/>
        </w:rPr>
        <w:t>Эмитент не явля</w:t>
      </w:r>
      <w:r>
        <w:rPr>
          <w:b/>
          <w:bCs/>
          <w:i/>
          <w:iCs/>
          <w:sz w:val="22"/>
          <w:szCs w:val="22"/>
        </w:rPr>
        <w:t>ется хозяйственным обществом, имеющим стратегическое значение для обеспечения обороны страны и безопасности государства.</w:t>
      </w:r>
    </w:p>
    <w:p w:rsidR="00000000" w:rsidRDefault="00F80EEC">
      <w:pPr>
        <w:pStyle w:val="a3"/>
        <w:jc w:val="both"/>
        <w:rPr>
          <w:sz w:val="22"/>
          <w:szCs w:val="22"/>
        </w:rPr>
      </w:pPr>
      <w:r>
        <w:rPr>
          <w:sz w:val="22"/>
          <w:szCs w:val="22"/>
        </w:rPr>
        <w:t>В случае, если заключение договоров, направленных на отчуждение ценных бумаг эмитента, являющегося хозяйственным обществом, имеющим стр</w:t>
      </w:r>
      <w:r>
        <w:rPr>
          <w:sz w:val="22"/>
          <w:szCs w:val="22"/>
        </w:rPr>
        <w:t>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w:t>
      </w:r>
      <w:r>
        <w:rPr>
          <w:sz w:val="22"/>
          <w:szCs w:val="22"/>
        </w:rPr>
        <w:t xml:space="preserve">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данное обстоятельство: </w:t>
      </w:r>
      <w:r>
        <w:rPr>
          <w:b/>
          <w:bCs/>
          <w:i/>
          <w:iCs/>
          <w:sz w:val="22"/>
          <w:szCs w:val="22"/>
        </w:rPr>
        <w:t>не применимо.</w:t>
      </w:r>
    </w:p>
    <w:p w:rsidR="00000000" w:rsidRDefault="00F80EEC">
      <w:pPr>
        <w:pStyle w:val="a3"/>
        <w:jc w:val="both"/>
        <w:rPr>
          <w:sz w:val="22"/>
          <w:szCs w:val="22"/>
        </w:rPr>
      </w:pPr>
      <w:r>
        <w:rPr>
          <w:sz w:val="22"/>
          <w:szCs w:val="22"/>
        </w:rPr>
        <w:t>4.2.10. В случае если приобретение акций кредитной орга</w:t>
      </w:r>
      <w:r>
        <w:rPr>
          <w:sz w:val="22"/>
          <w:szCs w:val="22"/>
        </w:rPr>
        <w:t>низации или некредитной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w:t>
      </w:r>
      <w:r>
        <w:rPr>
          <w:sz w:val="22"/>
          <w:szCs w:val="22"/>
        </w:rPr>
        <w:t xml:space="preserve">ждающие получение предварительного (последующего) согласия Банка России на указанное приобретение. </w:t>
      </w:r>
      <w:r>
        <w:rPr>
          <w:b/>
          <w:bCs/>
          <w:i/>
          <w:iCs/>
          <w:sz w:val="22"/>
          <w:szCs w:val="22"/>
        </w:rPr>
        <w:t>Не применимо.</w:t>
      </w:r>
    </w:p>
    <w:p w:rsidR="00000000" w:rsidRDefault="00F80EEC">
      <w:pPr>
        <w:pStyle w:val="a3"/>
        <w:jc w:val="both"/>
        <w:rPr>
          <w:sz w:val="22"/>
          <w:szCs w:val="22"/>
        </w:rPr>
      </w:pPr>
      <w:r>
        <w:rPr>
          <w:sz w:val="22"/>
          <w:szCs w:val="22"/>
        </w:rPr>
        <w:t>Указывается на обязанность представления приобретателем ценных бумаг в кредитную организацию или некредитную финансовую организацию - эмитент д</w:t>
      </w:r>
      <w:r>
        <w:rPr>
          <w:sz w:val="22"/>
          <w:szCs w:val="22"/>
        </w:rPr>
        <w:t xml:space="preserve">окументов для осуществления оценки его финансового положения (в случае необходимости осуществления такой оценки). </w:t>
      </w:r>
      <w:r>
        <w:rPr>
          <w:b/>
          <w:bCs/>
          <w:i/>
          <w:iCs/>
          <w:sz w:val="22"/>
          <w:szCs w:val="22"/>
        </w:rPr>
        <w:t>Не применимо.</w:t>
      </w:r>
    </w:p>
    <w:p w:rsidR="00000000" w:rsidRDefault="00F80EEC">
      <w:pPr>
        <w:pStyle w:val="a3"/>
        <w:jc w:val="both"/>
        <w:rPr>
          <w:sz w:val="22"/>
          <w:szCs w:val="22"/>
        </w:rPr>
      </w:pPr>
      <w:r>
        <w:rPr>
          <w:sz w:val="22"/>
          <w:szCs w:val="22"/>
        </w:rPr>
        <w:t>4.2.11. В случае размещения ценных бумаг среди инвесторов, являющихся участниками инвестиционной платформы, указывается наименов</w:t>
      </w:r>
      <w:r>
        <w:rPr>
          <w:sz w:val="22"/>
          <w:szCs w:val="22"/>
        </w:rPr>
        <w:t xml:space="preserve">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платформы: </w:t>
      </w:r>
      <w:r>
        <w:rPr>
          <w:b/>
          <w:bCs/>
          <w:i/>
          <w:iCs/>
          <w:sz w:val="22"/>
          <w:szCs w:val="22"/>
        </w:rPr>
        <w:t>раз</w:t>
      </w:r>
      <w:r>
        <w:rPr>
          <w:b/>
          <w:bCs/>
          <w:i/>
          <w:iCs/>
          <w:sz w:val="22"/>
          <w:szCs w:val="22"/>
        </w:rPr>
        <w:t>мещение Биржевых облигаций среди инвесторов, являющихся участниками инвестиционной платформы, не осуществляется.</w:t>
      </w:r>
    </w:p>
    <w:p w:rsidR="00000000" w:rsidRDefault="00F80EEC">
      <w:pPr>
        <w:pStyle w:val="a3"/>
        <w:jc w:val="both"/>
        <w:rPr>
          <w:sz w:val="22"/>
          <w:szCs w:val="22"/>
        </w:rPr>
      </w:pPr>
      <w:r>
        <w:rPr>
          <w:sz w:val="22"/>
          <w:szCs w:val="22"/>
        </w:rPr>
        <w:t>4.2.12. В случае если акции подлежат размещению во исполнение договора конвертируемого займа, указываются реквизиты такого договора, а также ин</w:t>
      </w:r>
      <w:r>
        <w:rPr>
          <w:sz w:val="22"/>
          <w:szCs w:val="22"/>
        </w:rPr>
        <w:t>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w:t>
      </w:r>
      <w:r>
        <w:rPr>
          <w:sz w:val="22"/>
          <w:szCs w:val="22"/>
        </w:rPr>
        <w:t xml:space="preserve">ционерного общества путем размещения дополнительных акций во исполнение договора конвертируемого займа: </w:t>
      </w:r>
      <w:r>
        <w:rPr>
          <w:b/>
          <w:bCs/>
          <w:i/>
          <w:iCs/>
          <w:sz w:val="22"/>
          <w:szCs w:val="22"/>
        </w:rPr>
        <w:t>не применимо.</w:t>
      </w:r>
    </w:p>
    <w:p w:rsidR="00000000" w:rsidRDefault="00F80EEC">
      <w:pPr>
        <w:pStyle w:val="a3"/>
        <w:jc w:val="both"/>
        <w:rPr>
          <w:sz w:val="22"/>
          <w:szCs w:val="22"/>
        </w:rPr>
      </w:pPr>
      <w:r>
        <w:rPr>
          <w:sz w:val="22"/>
          <w:szCs w:val="22"/>
        </w:rPr>
        <w:t>4.2.13. В случае если осуществление (исполнение) сделки (операции), направленной на отчуждение ценных бумаг эмитента первым владельцам в х</w:t>
      </w:r>
      <w:r>
        <w:rPr>
          <w:sz w:val="22"/>
          <w:szCs w:val="22"/>
        </w:rPr>
        <w:t xml:space="preserve">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указывается данное обстоятельство: </w:t>
      </w:r>
      <w:r>
        <w:rPr>
          <w:b/>
          <w:bCs/>
          <w:i/>
          <w:iCs/>
          <w:sz w:val="22"/>
          <w:szCs w:val="22"/>
        </w:rPr>
        <w:t>не требуется.</w:t>
      </w:r>
    </w:p>
    <w:p w:rsidR="00000000" w:rsidRDefault="00F80EEC">
      <w:pPr>
        <w:pStyle w:val="a3"/>
        <w:jc w:val="both"/>
        <w:rPr>
          <w:sz w:val="22"/>
          <w:szCs w:val="22"/>
        </w:rPr>
      </w:pPr>
      <w:r>
        <w:rPr>
          <w:sz w:val="22"/>
          <w:szCs w:val="22"/>
        </w:rPr>
        <w:t>4.3. Цена (цены) или порядок определения</w:t>
      </w:r>
      <w:r>
        <w:rPr>
          <w:sz w:val="22"/>
          <w:szCs w:val="22"/>
        </w:rPr>
        <w:t xml:space="preserve"> цены размещения ценных бумаг:</w:t>
      </w:r>
    </w:p>
    <w:p w:rsidR="00000000" w:rsidRDefault="00F80EEC">
      <w:pPr>
        <w:pStyle w:val="a3"/>
        <w:jc w:val="both"/>
        <w:rPr>
          <w:sz w:val="22"/>
          <w:szCs w:val="22"/>
        </w:rPr>
      </w:pPr>
      <w:r>
        <w:rPr>
          <w:b/>
          <w:bCs/>
          <w:i/>
          <w:iCs/>
          <w:sz w:val="22"/>
          <w:szCs w:val="22"/>
        </w:rPr>
        <w:t>Цена размещения Биржевых облигаций устанавливается равной 1 000 (Одна тысяча) российских рублей за одну Биржевую облигацию, что соответствует 100 (Ста) процентам от номинальной стоимости Биржевой облигации.</w:t>
      </w:r>
    </w:p>
    <w:p w:rsidR="00000000" w:rsidRDefault="00F80EEC">
      <w:pPr>
        <w:pStyle w:val="a3"/>
        <w:jc w:val="both"/>
        <w:rPr>
          <w:sz w:val="22"/>
          <w:szCs w:val="22"/>
        </w:rPr>
      </w:pPr>
      <w:r>
        <w:rPr>
          <w:sz w:val="22"/>
          <w:szCs w:val="22"/>
        </w:rPr>
        <w:lastRenderedPageBreak/>
        <w:t xml:space="preserve">В случае если при </w:t>
      </w:r>
      <w:r>
        <w:rPr>
          <w:sz w:val="22"/>
          <w:szCs w:val="22"/>
        </w:rPr>
        <w:t xml:space="preserve">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Pr>
          <w:b/>
          <w:bCs/>
          <w:i/>
          <w:iCs/>
          <w:sz w:val="22"/>
          <w:szCs w:val="22"/>
        </w:rPr>
        <w:t>Преимущественное право приобретения Б</w:t>
      </w:r>
      <w:r>
        <w:rPr>
          <w:b/>
          <w:bCs/>
          <w:i/>
          <w:iCs/>
          <w:sz w:val="22"/>
          <w:szCs w:val="22"/>
        </w:rPr>
        <w:t>иржевых облигаций не предусмотрено.</w:t>
      </w:r>
    </w:p>
    <w:p w:rsidR="00000000" w:rsidRDefault="00F80EEC">
      <w:pPr>
        <w:pStyle w:val="a3"/>
        <w:spacing w:after="0" w:afterAutospacing="0"/>
        <w:jc w:val="both"/>
        <w:rPr>
          <w:sz w:val="22"/>
          <w:szCs w:val="22"/>
        </w:rPr>
      </w:pPr>
      <w:r>
        <w:rPr>
          <w:sz w:val="22"/>
          <w:szCs w:val="22"/>
        </w:rPr>
        <w:t>4.4. Порядок осуществления преимущественного права приобретения размещаемых ценных бумаг:</w:t>
      </w:r>
    </w:p>
    <w:p w:rsidR="00000000" w:rsidRDefault="00F80EEC">
      <w:pPr>
        <w:pStyle w:val="a3"/>
        <w:spacing w:before="0" w:beforeAutospacing="0"/>
        <w:jc w:val="both"/>
        <w:rPr>
          <w:sz w:val="22"/>
          <w:szCs w:val="22"/>
        </w:rPr>
      </w:pPr>
      <w:r>
        <w:rPr>
          <w:b/>
          <w:bCs/>
          <w:i/>
          <w:iCs/>
          <w:sz w:val="22"/>
          <w:szCs w:val="22"/>
        </w:rPr>
        <w:t>Не применимо.</w:t>
      </w:r>
    </w:p>
    <w:p w:rsidR="00000000" w:rsidRDefault="00F80EEC">
      <w:pPr>
        <w:pStyle w:val="a3"/>
        <w:jc w:val="both"/>
        <w:rPr>
          <w:sz w:val="22"/>
          <w:szCs w:val="22"/>
        </w:rPr>
      </w:pPr>
      <w:r>
        <w:rPr>
          <w:sz w:val="22"/>
          <w:szCs w:val="22"/>
        </w:rPr>
        <w:t xml:space="preserve">4.5. Условия, порядок и срок оплаты ценных бумаг: </w:t>
      </w:r>
    </w:p>
    <w:p w:rsidR="00000000" w:rsidRDefault="00F80EEC">
      <w:pPr>
        <w:pStyle w:val="a3"/>
        <w:jc w:val="both"/>
        <w:rPr>
          <w:sz w:val="22"/>
          <w:szCs w:val="22"/>
        </w:rPr>
      </w:pPr>
      <w:r>
        <w:rPr>
          <w:sz w:val="22"/>
          <w:szCs w:val="22"/>
        </w:rPr>
        <w:t>4.5.1. Указываются способ оплаты размещаемых ценных бумаг (денежн</w:t>
      </w:r>
      <w:r>
        <w:rPr>
          <w:sz w:val="22"/>
          <w:szCs w:val="22"/>
        </w:rPr>
        <w:t>ыми средствами, денежными средствами, включая возможность оплаты размещаемых ценных бумаг путем зачета денежных требований, неденежными средствами).</w:t>
      </w:r>
    </w:p>
    <w:p w:rsidR="00000000" w:rsidRDefault="00F80EEC">
      <w:pPr>
        <w:pStyle w:val="a3"/>
        <w:jc w:val="both"/>
        <w:rPr>
          <w:sz w:val="22"/>
          <w:szCs w:val="22"/>
        </w:rPr>
      </w:pPr>
      <w:r>
        <w:rPr>
          <w:b/>
          <w:bCs/>
          <w:i/>
          <w:iCs/>
          <w:sz w:val="22"/>
          <w:szCs w:val="22"/>
        </w:rPr>
        <w:t>Биржевые облигации оплачиваются в соответствии с правилами клиринга Клиринговой организации в денежной форм</w:t>
      </w:r>
      <w:r>
        <w:rPr>
          <w:b/>
          <w:bCs/>
          <w:i/>
          <w:iCs/>
          <w:sz w:val="22"/>
          <w:szCs w:val="22"/>
        </w:rPr>
        <w:t>е в безналичном порядке в рублях Российской Федерации.</w:t>
      </w:r>
    </w:p>
    <w:p w:rsidR="00000000" w:rsidRDefault="00F80EEC">
      <w:pPr>
        <w:pStyle w:val="a3"/>
        <w:jc w:val="both"/>
        <w:rPr>
          <w:sz w:val="22"/>
          <w:szCs w:val="22"/>
        </w:rPr>
      </w:pPr>
      <w:r>
        <w:rPr>
          <w:sz w:val="22"/>
          <w:szCs w:val="22"/>
        </w:rPr>
        <w:t>4.5.2. В случае оплаты размещаемых ценных бумаг (за исключением акций, подлежащих размещению во исполнение договора конвертируемого займа) денежными средствами указываются: форма оплаты (наличная или б</w:t>
      </w:r>
      <w:r>
        <w:rPr>
          <w:sz w:val="22"/>
          <w:szCs w:val="22"/>
        </w:rPr>
        <w:t>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w:t>
      </w:r>
      <w:r>
        <w:rPr>
          <w:sz w:val="22"/>
          <w:szCs w:val="22"/>
        </w:rPr>
        <w:t>я денежных средств и его идентификационный номер налогоплательщика, адреса пунктов оплаты (в случае наличной формы оплаты за ценные бумаги).</w:t>
      </w:r>
    </w:p>
    <w:p w:rsidR="00000000" w:rsidRDefault="00F80EEC">
      <w:pPr>
        <w:pStyle w:val="a3"/>
        <w:spacing w:after="0" w:afterAutospacing="0"/>
        <w:jc w:val="both"/>
        <w:rPr>
          <w:sz w:val="22"/>
          <w:szCs w:val="22"/>
        </w:rPr>
      </w:pPr>
      <w:r>
        <w:rPr>
          <w:b/>
          <w:bCs/>
          <w:i/>
          <w:iCs/>
          <w:sz w:val="22"/>
          <w:szCs w:val="22"/>
        </w:rPr>
        <w:t>При приобретении Биржевые облигации оплачиваются денежными средствами в безналичном порядке в рублях Российской Фед</w:t>
      </w:r>
      <w:r>
        <w:rPr>
          <w:b/>
          <w:bCs/>
          <w:i/>
          <w:iCs/>
          <w:sz w:val="22"/>
          <w:szCs w:val="22"/>
        </w:rPr>
        <w:t>ерации.</w:t>
      </w:r>
    </w:p>
    <w:p w:rsidR="00000000" w:rsidRDefault="00F80EEC">
      <w:pPr>
        <w:pStyle w:val="a3"/>
        <w:spacing w:before="0" w:beforeAutospacing="0" w:after="0" w:afterAutospacing="0"/>
        <w:jc w:val="both"/>
        <w:rPr>
          <w:sz w:val="22"/>
          <w:szCs w:val="22"/>
        </w:rPr>
      </w:pPr>
      <w:r>
        <w:rPr>
          <w:b/>
          <w:bCs/>
          <w:i/>
          <w:iCs/>
          <w:sz w:val="22"/>
          <w:szCs w:val="22"/>
        </w:rPr>
        <w:t>Денежные средства, полученные от размещения Биржевых облигаций, зачисляются на счет Эмитента по следующим реквизитам:</w:t>
      </w:r>
    </w:p>
    <w:p w:rsidR="00000000" w:rsidRDefault="00F80EEC">
      <w:pPr>
        <w:pStyle w:val="a3"/>
        <w:spacing w:before="0" w:beforeAutospacing="0" w:after="0" w:afterAutospacing="0"/>
        <w:jc w:val="both"/>
        <w:rPr>
          <w:sz w:val="22"/>
          <w:szCs w:val="22"/>
        </w:rPr>
      </w:pPr>
      <w:r>
        <w:rPr>
          <w:sz w:val="22"/>
          <w:szCs w:val="22"/>
        </w:rPr>
        <w:t xml:space="preserve">Владелец счета: </w:t>
      </w:r>
      <w:r>
        <w:rPr>
          <w:b/>
          <w:bCs/>
          <w:i/>
          <w:iCs/>
          <w:sz w:val="22"/>
          <w:szCs w:val="22"/>
        </w:rPr>
        <w:t>Банк ВТБ (публичное акционерное общество)</w:t>
      </w:r>
    </w:p>
    <w:p w:rsidR="00000000" w:rsidRDefault="00F80EEC">
      <w:pPr>
        <w:pStyle w:val="a3"/>
        <w:spacing w:before="0" w:beforeAutospacing="0" w:after="0" w:afterAutospacing="0"/>
        <w:jc w:val="both"/>
        <w:rPr>
          <w:sz w:val="22"/>
          <w:szCs w:val="22"/>
        </w:rPr>
      </w:pPr>
      <w:r>
        <w:rPr>
          <w:sz w:val="22"/>
          <w:szCs w:val="22"/>
        </w:rPr>
        <w:t xml:space="preserve">ИНН: </w:t>
      </w:r>
      <w:r>
        <w:rPr>
          <w:b/>
          <w:bCs/>
          <w:i/>
          <w:iCs/>
          <w:sz w:val="22"/>
          <w:szCs w:val="22"/>
        </w:rPr>
        <w:t>7702070139</w:t>
      </w:r>
    </w:p>
    <w:p w:rsidR="00000000" w:rsidRDefault="00F80EEC">
      <w:pPr>
        <w:pStyle w:val="a3"/>
        <w:spacing w:before="0" w:beforeAutospacing="0" w:after="0" w:afterAutospacing="0"/>
        <w:jc w:val="both"/>
        <w:rPr>
          <w:sz w:val="22"/>
          <w:szCs w:val="22"/>
        </w:rPr>
      </w:pPr>
      <w:r>
        <w:rPr>
          <w:sz w:val="22"/>
          <w:szCs w:val="22"/>
        </w:rPr>
        <w:t xml:space="preserve">Номер счета: </w:t>
      </w:r>
      <w:r>
        <w:rPr>
          <w:b/>
          <w:bCs/>
          <w:i/>
          <w:iCs/>
          <w:sz w:val="22"/>
          <w:szCs w:val="22"/>
        </w:rPr>
        <w:t>30411810200000000141</w:t>
      </w:r>
    </w:p>
    <w:p w:rsidR="00000000" w:rsidRDefault="00F80EEC">
      <w:pPr>
        <w:pStyle w:val="a3"/>
        <w:spacing w:before="0" w:beforeAutospacing="0" w:after="0" w:afterAutospacing="0"/>
        <w:jc w:val="both"/>
        <w:rPr>
          <w:sz w:val="22"/>
          <w:szCs w:val="22"/>
        </w:rPr>
      </w:pPr>
      <w:r>
        <w:rPr>
          <w:sz w:val="22"/>
          <w:szCs w:val="22"/>
        </w:rPr>
        <w:t>Кредитная организация:</w:t>
      </w:r>
    </w:p>
    <w:p w:rsidR="00000000" w:rsidRDefault="00F80EEC">
      <w:pPr>
        <w:pStyle w:val="a3"/>
        <w:spacing w:before="0" w:beforeAutospacing="0" w:after="0" w:afterAutospacing="0"/>
        <w:jc w:val="both"/>
        <w:rPr>
          <w:sz w:val="22"/>
          <w:szCs w:val="22"/>
        </w:rPr>
      </w:pPr>
      <w:r>
        <w:rPr>
          <w:sz w:val="22"/>
          <w:szCs w:val="22"/>
        </w:rPr>
        <w:t xml:space="preserve">Полное фирменное наименование на русском языке: </w:t>
      </w:r>
      <w:r>
        <w:rPr>
          <w:b/>
          <w:bCs/>
          <w:i/>
          <w:iCs/>
          <w:sz w:val="22"/>
          <w:szCs w:val="22"/>
        </w:rPr>
        <w:t>Небанковская кредитная организация акционерное общество «Национальный расчетный депозитарий».</w:t>
      </w:r>
    </w:p>
    <w:p w:rsidR="00000000" w:rsidRDefault="00F80EEC">
      <w:pPr>
        <w:pStyle w:val="a3"/>
        <w:spacing w:before="0" w:beforeAutospacing="0" w:after="0" w:afterAutospacing="0"/>
        <w:jc w:val="both"/>
        <w:rPr>
          <w:sz w:val="22"/>
          <w:szCs w:val="22"/>
        </w:rPr>
      </w:pPr>
      <w:r>
        <w:rPr>
          <w:sz w:val="22"/>
          <w:szCs w:val="22"/>
        </w:rPr>
        <w:t xml:space="preserve">Сокращенное фирменное наименование на русском языке: </w:t>
      </w:r>
      <w:r>
        <w:rPr>
          <w:b/>
          <w:bCs/>
          <w:i/>
          <w:iCs/>
          <w:sz w:val="22"/>
          <w:szCs w:val="22"/>
        </w:rPr>
        <w:t>НКО АО НРД.</w:t>
      </w:r>
    </w:p>
    <w:p w:rsidR="00000000" w:rsidRDefault="00F80EEC">
      <w:pPr>
        <w:pStyle w:val="a3"/>
        <w:spacing w:before="0" w:beforeAutospacing="0" w:after="0" w:afterAutospacing="0"/>
        <w:jc w:val="both"/>
        <w:rPr>
          <w:sz w:val="22"/>
          <w:szCs w:val="22"/>
        </w:rPr>
      </w:pPr>
      <w:r>
        <w:rPr>
          <w:sz w:val="22"/>
          <w:szCs w:val="22"/>
        </w:rPr>
        <w:t xml:space="preserve">Место нахождения: </w:t>
      </w:r>
      <w:r>
        <w:rPr>
          <w:b/>
          <w:bCs/>
          <w:i/>
          <w:iCs/>
          <w:sz w:val="22"/>
          <w:szCs w:val="22"/>
        </w:rPr>
        <w:t>Российская Федерация, город Мо</w:t>
      </w:r>
      <w:r>
        <w:rPr>
          <w:b/>
          <w:bCs/>
          <w:i/>
          <w:iCs/>
          <w:sz w:val="22"/>
          <w:szCs w:val="22"/>
        </w:rPr>
        <w:t>сква.</w:t>
      </w:r>
    </w:p>
    <w:p w:rsidR="00000000" w:rsidRDefault="00F80EEC">
      <w:pPr>
        <w:pStyle w:val="a3"/>
        <w:spacing w:before="0" w:beforeAutospacing="0" w:after="0" w:afterAutospacing="0"/>
        <w:jc w:val="both"/>
        <w:rPr>
          <w:sz w:val="22"/>
          <w:szCs w:val="22"/>
        </w:rPr>
      </w:pPr>
      <w:r>
        <w:rPr>
          <w:sz w:val="22"/>
          <w:szCs w:val="22"/>
        </w:rPr>
        <w:t xml:space="preserve">Адрес для направления корреспонденции (почтовый адрес): </w:t>
      </w:r>
      <w:r>
        <w:rPr>
          <w:b/>
          <w:bCs/>
          <w:i/>
          <w:iCs/>
          <w:sz w:val="22"/>
          <w:szCs w:val="22"/>
        </w:rPr>
        <w:t>105066, город Москва, ул. Спартаковская, дом 12</w:t>
      </w:r>
    </w:p>
    <w:p w:rsidR="00000000" w:rsidRDefault="00F80EEC">
      <w:pPr>
        <w:pStyle w:val="a3"/>
        <w:spacing w:before="0" w:beforeAutospacing="0" w:after="0" w:afterAutospacing="0"/>
        <w:jc w:val="both"/>
        <w:rPr>
          <w:sz w:val="22"/>
          <w:szCs w:val="22"/>
        </w:rPr>
      </w:pPr>
      <w:r>
        <w:rPr>
          <w:sz w:val="22"/>
          <w:szCs w:val="22"/>
        </w:rPr>
        <w:t xml:space="preserve">ИНН: </w:t>
      </w:r>
      <w:r>
        <w:rPr>
          <w:b/>
          <w:bCs/>
          <w:i/>
          <w:iCs/>
          <w:sz w:val="22"/>
          <w:szCs w:val="22"/>
        </w:rPr>
        <w:t>7702165310</w:t>
      </w:r>
    </w:p>
    <w:p w:rsidR="00000000" w:rsidRDefault="00F80EEC">
      <w:pPr>
        <w:pStyle w:val="a3"/>
        <w:spacing w:before="0" w:beforeAutospacing="0" w:after="0" w:afterAutospacing="0"/>
        <w:jc w:val="both"/>
        <w:rPr>
          <w:sz w:val="22"/>
          <w:szCs w:val="22"/>
        </w:rPr>
      </w:pPr>
      <w:r>
        <w:rPr>
          <w:sz w:val="22"/>
          <w:szCs w:val="22"/>
        </w:rPr>
        <w:t xml:space="preserve">БИК: </w:t>
      </w:r>
      <w:r>
        <w:rPr>
          <w:b/>
          <w:bCs/>
          <w:i/>
          <w:iCs/>
          <w:sz w:val="22"/>
          <w:szCs w:val="22"/>
        </w:rPr>
        <w:t>044525505</w:t>
      </w:r>
    </w:p>
    <w:p w:rsidR="00000000" w:rsidRDefault="00F80EEC">
      <w:pPr>
        <w:pStyle w:val="a3"/>
        <w:spacing w:before="0" w:beforeAutospacing="0"/>
        <w:jc w:val="both"/>
        <w:rPr>
          <w:sz w:val="22"/>
          <w:szCs w:val="22"/>
        </w:rPr>
      </w:pPr>
      <w:r>
        <w:rPr>
          <w:sz w:val="22"/>
          <w:szCs w:val="22"/>
        </w:rPr>
        <w:t xml:space="preserve">К/с: </w:t>
      </w:r>
      <w:r>
        <w:rPr>
          <w:b/>
          <w:bCs/>
          <w:i/>
          <w:iCs/>
          <w:sz w:val="22"/>
          <w:szCs w:val="22"/>
        </w:rPr>
        <w:t>№ 30105810345250000505 в ГУ Банка России по ЦФО</w:t>
      </w:r>
    </w:p>
    <w:p w:rsidR="00000000" w:rsidRDefault="00F80EEC">
      <w:pPr>
        <w:pStyle w:val="a3"/>
        <w:spacing w:after="0" w:afterAutospacing="0"/>
        <w:jc w:val="both"/>
        <w:rPr>
          <w:sz w:val="22"/>
          <w:szCs w:val="22"/>
        </w:rPr>
      </w:pPr>
      <w:r>
        <w:rPr>
          <w:sz w:val="22"/>
          <w:szCs w:val="22"/>
        </w:rPr>
        <w:t>4.5.3. В случае оплаты ценных бумаг неденежными средствами ука</w:t>
      </w:r>
      <w:r>
        <w:rPr>
          <w:sz w:val="22"/>
          <w:szCs w:val="22"/>
        </w:rPr>
        <w:t>зываются имущество, которым могут оплачиваться ценные бумаги выпуска, условия оплаты, включая документы, оформляемые при такой оплате (акты приема-передачи имущества, распоряжение регистратору или депозитарию, осуществляющему учет прав на ценные бумаги, ко</w:t>
      </w:r>
      <w:r>
        <w:rPr>
          <w:sz w:val="22"/>
          <w:szCs w:val="22"/>
        </w:rPr>
        <w:t>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w:t>
      </w:r>
      <w:r>
        <w:rPr>
          <w:sz w:val="22"/>
          <w:szCs w:val="22"/>
        </w:rPr>
        <w:t xml:space="preserve">ва: </w:t>
      </w:r>
      <w:r>
        <w:rPr>
          <w:b/>
          <w:bCs/>
          <w:i/>
          <w:iCs/>
          <w:sz w:val="22"/>
          <w:szCs w:val="22"/>
        </w:rPr>
        <w:t>Не применимо.</w:t>
      </w:r>
    </w:p>
    <w:p w:rsidR="00000000" w:rsidRDefault="00F80EEC">
      <w:pPr>
        <w:pStyle w:val="a3"/>
        <w:spacing w:before="0" w:beforeAutospacing="0"/>
        <w:jc w:val="both"/>
        <w:rPr>
          <w:sz w:val="22"/>
          <w:szCs w:val="22"/>
        </w:rPr>
      </w:pPr>
      <w:r>
        <w:rPr>
          <w:sz w:val="22"/>
          <w:szCs w:val="22"/>
        </w:rPr>
        <w:t>4.5.4. В случае оплаты дополнительных акций, размещаемых посредством закрытой подписки,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w:t>
      </w:r>
      <w:r>
        <w:rPr>
          <w:sz w:val="22"/>
          <w:szCs w:val="22"/>
        </w:rPr>
        <w:t xml:space="preserve">ния) о таком зачете: </w:t>
      </w:r>
      <w:r>
        <w:rPr>
          <w:b/>
          <w:bCs/>
          <w:i/>
          <w:iCs/>
          <w:sz w:val="22"/>
          <w:szCs w:val="22"/>
        </w:rPr>
        <w:t>Не применимо.</w:t>
      </w:r>
    </w:p>
    <w:p w:rsidR="00000000" w:rsidRDefault="00F80EEC">
      <w:pPr>
        <w:pStyle w:val="a3"/>
        <w:spacing w:after="0" w:afterAutospacing="0"/>
        <w:jc w:val="both"/>
        <w:rPr>
          <w:sz w:val="22"/>
          <w:szCs w:val="22"/>
        </w:rPr>
      </w:pPr>
      <w:r>
        <w:rPr>
          <w:sz w:val="22"/>
          <w:szCs w:val="22"/>
        </w:rPr>
        <w:t xml:space="preserve">4.5.5. Указывается срок оплаты размещаемых ценных бумаг: </w:t>
      </w:r>
    </w:p>
    <w:p w:rsidR="00000000" w:rsidRDefault="00F80EEC">
      <w:pPr>
        <w:pStyle w:val="a3"/>
        <w:spacing w:before="0" w:beforeAutospacing="0" w:after="0" w:afterAutospacing="0"/>
        <w:jc w:val="both"/>
        <w:rPr>
          <w:b/>
          <w:bCs/>
          <w:i/>
          <w:iCs/>
          <w:sz w:val="22"/>
          <w:szCs w:val="22"/>
        </w:rPr>
      </w:pPr>
      <w:r>
        <w:rPr>
          <w:b/>
          <w:bCs/>
          <w:i/>
          <w:iCs/>
          <w:sz w:val="22"/>
          <w:szCs w:val="22"/>
        </w:rPr>
        <w:lastRenderedPageBreak/>
        <w:t>Возможность рассрочки при оплате Биржевых облигаций не предусмотрена. Оплата Биржевых облигаций осуществляется в процессе их размещения на торгах Биржи.</w:t>
      </w:r>
    </w:p>
    <w:p w:rsidR="00000000" w:rsidRDefault="00F80EEC">
      <w:pPr>
        <w:pStyle w:val="a3"/>
        <w:spacing w:before="0" w:beforeAutospacing="0" w:after="0" w:afterAutospacing="0"/>
        <w:jc w:val="both"/>
        <w:rPr>
          <w:b/>
          <w:bCs/>
          <w:i/>
          <w:iCs/>
          <w:sz w:val="22"/>
          <w:szCs w:val="22"/>
        </w:rPr>
      </w:pPr>
      <w:r>
        <w:rPr>
          <w:b/>
          <w:bCs/>
          <w:i/>
          <w:iCs/>
          <w:sz w:val="22"/>
          <w:szCs w:val="22"/>
        </w:rPr>
        <w:t>Денежные р</w:t>
      </w:r>
      <w:r>
        <w:rPr>
          <w:b/>
          <w:bCs/>
          <w:i/>
          <w:iCs/>
          <w:sz w:val="22"/>
          <w:szCs w:val="22"/>
        </w:rPr>
        <w:t>асчеты по сделкам купли-продажи Биржевых облигаций при их размещении производятся на условиях «поставка против платежа».</w:t>
      </w:r>
    </w:p>
    <w:p w:rsidR="00000000" w:rsidRDefault="00F80EEC">
      <w:pPr>
        <w:pStyle w:val="a3"/>
        <w:spacing w:before="0" w:beforeAutospacing="0"/>
        <w:jc w:val="both"/>
        <w:rPr>
          <w:b/>
          <w:bCs/>
          <w:i/>
          <w:iCs/>
          <w:sz w:val="22"/>
          <w:szCs w:val="22"/>
        </w:rPr>
      </w:pPr>
      <w:r>
        <w:rPr>
          <w:b/>
          <w:bCs/>
          <w:i/>
          <w:iCs/>
          <w:sz w:val="22"/>
          <w:szCs w:val="22"/>
        </w:rPr>
        <w:t>«Поставка против платежа» предполагает такой порядок исполнения сделок с ценными бумагами, при котором перечисление ценных бумаг и дене</w:t>
      </w:r>
      <w:r>
        <w:rPr>
          <w:b/>
          <w:bCs/>
          <w:i/>
          <w:iCs/>
          <w:sz w:val="22"/>
          <w:szCs w:val="22"/>
        </w:rPr>
        <w:t>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w:t>
      </w:r>
      <w:r>
        <w:rPr>
          <w:b/>
          <w:bCs/>
          <w:i/>
          <w:iCs/>
          <w:sz w:val="22"/>
          <w:szCs w:val="22"/>
        </w:rPr>
        <w:t>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w:t>
      </w:r>
    </w:p>
    <w:p w:rsidR="00000000" w:rsidRDefault="00F80EEC">
      <w:pPr>
        <w:pStyle w:val="a3"/>
        <w:spacing w:after="0" w:afterAutospacing="0"/>
        <w:jc w:val="both"/>
        <w:rPr>
          <w:sz w:val="22"/>
          <w:szCs w:val="22"/>
        </w:rPr>
      </w:pPr>
      <w:r>
        <w:rPr>
          <w:sz w:val="22"/>
          <w:szCs w:val="22"/>
        </w:rPr>
        <w:t>5. Порядок раскрытия эмитентом информации о выпуске (дополн</w:t>
      </w:r>
      <w:r>
        <w:rPr>
          <w:sz w:val="22"/>
          <w:szCs w:val="22"/>
        </w:rPr>
        <w:t>ительном выпуске) ценных бумаг:</w:t>
      </w:r>
    </w:p>
    <w:p w:rsidR="00000000" w:rsidRDefault="00F80EEC">
      <w:pPr>
        <w:pStyle w:val="a3"/>
        <w:spacing w:before="0" w:beforeAutospacing="0" w:after="0" w:afterAutospacing="0"/>
        <w:jc w:val="both"/>
        <w:rPr>
          <w:sz w:val="22"/>
          <w:szCs w:val="22"/>
        </w:rPr>
      </w:pPr>
      <w:r>
        <w:rPr>
          <w:sz w:val="22"/>
          <w:szCs w:val="22"/>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w:t>
      </w:r>
      <w:r>
        <w:rPr>
          <w:sz w:val="22"/>
          <w:szCs w:val="22"/>
        </w:rPr>
        <w:t>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rsidR="00000000" w:rsidRDefault="00F80EEC">
      <w:pPr>
        <w:pStyle w:val="a3"/>
        <w:spacing w:before="0" w:beforeAutospacing="0" w:after="0" w:afterAutospacing="0"/>
        <w:jc w:val="both"/>
        <w:rPr>
          <w:sz w:val="22"/>
          <w:szCs w:val="22"/>
        </w:rPr>
      </w:pPr>
      <w:r>
        <w:rPr>
          <w:b/>
          <w:bCs/>
          <w:i/>
          <w:iCs/>
          <w:sz w:val="22"/>
          <w:szCs w:val="22"/>
        </w:rPr>
        <w:t xml:space="preserve">Эмитент раскрывает информацию о Выпуске в порядке, предусмотренном Федеральным законом </w:t>
      </w:r>
      <w:r>
        <w:rPr>
          <w:b/>
          <w:bCs/>
          <w:i/>
          <w:iCs/>
          <w:sz w:val="22"/>
          <w:szCs w:val="22"/>
        </w:rPr>
        <w:t>от 22.04.1996 № 39-ФЗ "О рынке ценных бумаг" и Программой.</w:t>
      </w:r>
    </w:p>
    <w:p w:rsidR="00000000" w:rsidRDefault="00F80EEC">
      <w:pPr>
        <w:pStyle w:val="a3"/>
        <w:spacing w:before="0" w:beforeAutospacing="0" w:after="0" w:afterAutospacing="0"/>
        <w:jc w:val="both"/>
        <w:rPr>
          <w:sz w:val="22"/>
          <w:szCs w:val="22"/>
        </w:rPr>
      </w:pPr>
      <w:r>
        <w:rPr>
          <w:sz w:val="22"/>
          <w:szCs w:val="22"/>
        </w:rPr>
        <w:t xml:space="preserve">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w:t>
      </w:r>
      <w:r>
        <w:rPr>
          <w:sz w:val="22"/>
          <w:szCs w:val="22"/>
        </w:rPr>
        <w:t>актами Банка России.</w:t>
      </w:r>
    </w:p>
    <w:p w:rsidR="00000000" w:rsidRDefault="00F80EEC">
      <w:pPr>
        <w:pStyle w:val="a3"/>
        <w:spacing w:before="0" w:beforeAutospacing="0" w:after="0" w:afterAutospacing="0"/>
        <w:jc w:val="both"/>
        <w:rPr>
          <w:sz w:val="22"/>
          <w:szCs w:val="22"/>
        </w:rPr>
      </w:pPr>
      <w:r>
        <w:rPr>
          <w:b/>
          <w:bCs/>
          <w:i/>
          <w:iCs/>
          <w:sz w:val="22"/>
          <w:szCs w:val="22"/>
        </w:rPr>
        <w:t>Не применимо.</w:t>
      </w:r>
    </w:p>
    <w:p w:rsidR="00000000" w:rsidRDefault="00F80EEC">
      <w:pPr>
        <w:pStyle w:val="a3"/>
        <w:spacing w:before="0" w:beforeAutospacing="0" w:after="0" w:afterAutospacing="0"/>
        <w:jc w:val="both"/>
        <w:rPr>
          <w:sz w:val="22"/>
          <w:szCs w:val="22"/>
        </w:rPr>
      </w:pPr>
      <w:r>
        <w:rPr>
          <w:sz w:val="22"/>
          <w:szCs w:val="22"/>
        </w:rPr>
        <w:t>В случае если информация о выпуске (дополнительном выпуске) раскрывается путем опубликования в периодическом печатном издании (изданиях), указывается наименование такого издания (изданий).</w:t>
      </w:r>
    </w:p>
    <w:p w:rsidR="00000000" w:rsidRDefault="00F80EEC">
      <w:pPr>
        <w:pStyle w:val="a3"/>
        <w:spacing w:before="0" w:beforeAutospacing="0" w:after="0" w:afterAutospacing="0"/>
        <w:jc w:val="both"/>
        <w:rPr>
          <w:sz w:val="22"/>
          <w:szCs w:val="22"/>
        </w:rPr>
      </w:pPr>
      <w:r>
        <w:rPr>
          <w:b/>
          <w:bCs/>
          <w:i/>
          <w:iCs/>
          <w:sz w:val="22"/>
          <w:szCs w:val="22"/>
        </w:rPr>
        <w:t>Не применимо.</w:t>
      </w:r>
    </w:p>
    <w:p w:rsidR="00000000" w:rsidRDefault="00F80EEC">
      <w:pPr>
        <w:pStyle w:val="a3"/>
        <w:spacing w:before="0" w:beforeAutospacing="0" w:after="0" w:afterAutospacing="0"/>
        <w:jc w:val="both"/>
        <w:rPr>
          <w:sz w:val="22"/>
          <w:szCs w:val="22"/>
        </w:rPr>
      </w:pPr>
      <w:r>
        <w:rPr>
          <w:sz w:val="22"/>
          <w:szCs w:val="22"/>
        </w:rPr>
        <w:t>В случае если инфо</w:t>
      </w:r>
      <w:r>
        <w:rPr>
          <w:sz w:val="22"/>
          <w:szCs w:val="22"/>
        </w:rPr>
        <w:t>рмация раскрывается путем опубликования на странице в сети "Интернет", указывается адрес такой страницы в сети "Интернет".</w:t>
      </w:r>
    </w:p>
    <w:p w:rsidR="00000000" w:rsidRDefault="00F80EEC">
      <w:pPr>
        <w:pStyle w:val="a3"/>
        <w:spacing w:before="0" w:beforeAutospacing="0" w:after="0" w:afterAutospacing="0"/>
        <w:jc w:val="both"/>
        <w:rPr>
          <w:sz w:val="22"/>
          <w:szCs w:val="22"/>
        </w:rPr>
      </w:pPr>
      <w:r>
        <w:rPr>
          <w:b/>
          <w:bCs/>
          <w:i/>
          <w:iCs/>
          <w:sz w:val="22"/>
          <w:szCs w:val="22"/>
        </w:rPr>
        <w:t>http://www.e-disclosure.ru/portal/company.aspx?id=1210, http://www.vtb.ru.</w:t>
      </w:r>
    </w:p>
    <w:p w:rsidR="00000000" w:rsidRDefault="00F80EEC">
      <w:pPr>
        <w:pStyle w:val="a3"/>
        <w:spacing w:before="0" w:beforeAutospacing="0"/>
        <w:jc w:val="both"/>
        <w:rPr>
          <w:sz w:val="22"/>
          <w:szCs w:val="22"/>
        </w:rPr>
      </w:pPr>
      <w:r>
        <w:rPr>
          <w:sz w:val="22"/>
          <w:szCs w:val="22"/>
        </w:rPr>
        <w:t>В случае если эмитент обязан раскрывать информацию в форме отчета эмитента и сообщений о существенных фактах, указывается данное обстоятельство.</w:t>
      </w:r>
    </w:p>
    <w:p w:rsidR="00000000" w:rsidRDefault="00F80EEC">
      <w:pPr>
        <w:pStyle w:val="a3"/>
        <w:jc w:val="both"/>
        <w:rPr>
          <w:sz w:val="22"/>
          <w:szCs w:val="22"/>
        </w:rPr>
      </w:pPr>
      <w:r>
        <w:rPr>
          <w:b/>
          <w:bCs/>
          <w:i/>
          <w:iCs/>
          <w:sz w:val="22"/>
          <w:szCs w:val="22"/>
        </w:rPr>
        <w:t>Эмитент обязан раскрывать информацию в форме отчета эмитента и сообщений о существенных фактах.</w:t>
      </w:r>
    </w:p>
    <w:p w:rsidR="00000000" w:rsidRDefault="00F80EEC">
      <w:pPr>
        <w:pStyle w:val="a3"/>
        <w:jc w:val="both"/>
        <w:rPr>
          <w:sz w:val="22"/>
          <w:szCs w:val="22"/>
        </w:rPr>
      </w:pPr>
      <w:r>
        <w:rPr>
          <w:sz w:val="22"/>
          <w:szCs w:val="22"/>
        </w:rPr>
        <w:t>6. Сведения о д</w:t>
      </w:r>
      <w:r>
        <w:rPr>
          <w:sz w:val="22"/>
          <w:szCs w:val="22"/>
        </w:rPr>
        <w:t xml:space="preserve">окументе, содержащем фактические итоги размещения ценных бумаг, которые представляются после завершения размещения ценных бумаг: </w:t>
      </w:r>
      <w:r>
        <w:rPr>
          <w:b/>
          <w:bCs/>
          <w:i/>
          <w:iCs/>
          <w:sz w:val="22"/>
          <w:szCs w:val="22"/>
        </w:rPr>
        <w:t>В соответствии с Федеральным законом от 22.04.1996 № 39-ФЗ «О рынке ценных бумаг», депозитарием, осуществляющим централизованны</w:t>
      </w:r>
      <w:r>
        <w:rPr>
          <w:b/>
          <w:bCs/>
          <w:i/>
          <w:iCs/>
          <w:sz w:val="22"/>
          <w:szCs w:val="22"/>
        </w:rPr>
        <w:t>й учет прав на Биржевые облигации, в Банк России представляется уведомление об итогах выпуска эмиссионных ценных бумаг.</w:t>
      </w:r>
    </w:p>
    <w:p w:rsidR="00000000" w:rsidRDefault="00F80EEC">
      <w:pPr>
        <w:pStyle w:val="a3"/>
        <w:jc w:val="both"/>
        <w:rPr>
          <w:sz w:val="22"/>
          <w:szCs w:val="22"/>
        </w:rPr>
      </w:pPr>
      <w:r>
        <w:rPr>
          <w:sz w:val="22"/>
          <w:szCs w:val="22"/>
        </w:rPr>
        <w:t>7. Иные сведения</w:t>
      </w:r>
    </w:p>
    <w:p w:rsidR="00000000" w:rsidRDefault="00F80EEC">
      <w:pPr>
        <w:pStyle w:val="a3"/>
        <w:jc w:val="both"/>
        <w:rPr>
          <w:sz w:val="22"/>
          <w:szCs w:val="22"/>
        </w:rPr>
      </w:pPr>
      <w:r>
        <w:rPr>
          <w:b/>
          <w:bCs/>
          <w:i/>
          <w:iCs/>
          <w:sz w:val="22"/>
          <w:szCs w:val="22"/>
        </w:rPr>
        <w:t>7.1. Процентная ставка купонного дохода на все купонные периоды установлена Решением о выпуске ценных бумаг.</w:t>
      </w:r>
    </w:p>
    <w:sectPr w:rsidR="000000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F80EEC"/>
    <w:rsid w:val="00F80E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66BBCE3-2ECD-4D76-AC27-3CB94AB00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pPr>
      <w:spacing w:before="100" w:beforeAutospacing="1" w:after="100" w:afterAutospacing="1"/>
    </w:pPr>
  </w:style>
  <w:style w:type="paragraph" w:styleId="a3">
    <w:name w:val="Normal (Web)"/>
    <w:basedOn w:val="a"/>
    <w:uiPriority w:val="99"/>
    <w:semiHidden/>
    <w:unhideWhenUse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3634</Words>
  <Characters>26369</Characters>
  <Application>Microsoft Office Word</Application>
  <DocSecurity>0</DocSecurity>
  <Lines>219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Ковалев Игорь Максимович</dc:creator>
  <cp:keywords/>
  <dc:description/>
  <cp:lastModifiedBy>Ковалев Игорь Максимович</cp:lastModifiedBy>
  <cp:revision>2</cp:revision>
  <dcterms:created xsi:type="dcterms:W3CDTF">2026-04-02T10:23:00Z</dcterms:created>
  <dcterms:modified xsi:type="dcterms:W3CDTF">2026-04-02T10:23:00Z</dcterms:modified>
</cp:coreProperties>
</file>